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广东省卫生健康宣传教育中心</w:t>
      </w:r>
    </w:p>
    <w:p>
      <w:pPr>
        <w:jc w:val="center"/>
        <w:rPr>
          <w:rFonts w:ascii="方正大标宋简体" w:hAnsi="方正大标宋简体" w:eastAsia="方正大标宋简体" w:cs="方正大标宋简体"/>
          <w:color w:val="auto"/>
          <w:sz w:val="44"/>
          <w:szCs w:val="44"/>
        </w:rPr>
      </w:pPr>
      <w:r>
        <w:rPr>
          <w:rFonts w:hint="eastAsia" w:ascii="方正大标宋简体" w:hAnsi="方正大标宋简体" w:eastAsia="方正大标宋简体" w:cs="方正大标宋简体"/>
          <w:color w:val="auto"/>
          <w:sz w:val="44"/>
          <w:szCs w:val="44"/>
        </w:rPr>
        <w:t>家庭健康包项目</w:t>
      </w:r>
    </w:p>
    <w:p>
      <w:pPr>
        <w:jc w:val="center"/>
        <w:rPr>
          <w:rFonts w:ascii="方正小标宋简体" w:hAnsi="方正小标宋简体" w:eastAsia="方正小标宋简体" w:cs="方正小标宋简体"/>
          <w:color w:val="auto"/>
          <w:sz w:val="44"/>
          <w:szCs w:val="44"/>
          <w:shd w:val="clear" w:color="auto" w:fill="FFFFFF"/>
        </w:rPr>
      </w:pPr>
    </w:p>
    <w:p>
      <w:pPr>
        <w:jc w:val="center"/>
        <w:rPr>
          <w:rFonts w:ascii="方正大标宋简体" w:hAnsi="方正大标宋简体" w:eastAsia="方正大标宋简体" w:cs="方正大标宋简体"/>
          <w:color w:val="auto"/>
          <w:sz w:val="44"/>
          <w:szCs w:val="44"/>
          <w:shd w:val="clear" w:color="auto" w:fill="FFFFFF"/>
        </w:rPr>
      </w:pPr>
      <w:r>
        <w:rPr>
          <w:rFonts w:hint="eastAsia" w:ascii="方正大标宋简体" w:hAnsi="方正大标宋简体" w:eastAsia="方正大标宋简体" w:cs="方正大标宋简体"/>
          <w:color w:val="auto"/>
          <w:sz w:val="44"/>
          <w:szCs w:val="44"/>
          <w:shd w:val="clear" w:color="auto" w:fill="FFFFFF"/>
        </w:rPr>
        <w:t>采购资料</w:t>
      </w:r>
    </w:p>
    <w:p>
      <w:pPr>
        <w:jc w:val="center"/>
        <w:rPr>
          <w:rFonts w:ascii="方正大标宋简体" w:hAnsi="方正大标宋简体" w:eastAsia="方正大标宋简体" w:cs="方正大标宋简体"/>
          <w:color w:val="auto"/>
          <w:sz w:val="32"/>
          <w:szCs w:val="32"/>
          <w:shd w:val="clear" w:color="auto" w:fill="FFFFFF"/>
        </w:rPr>
      </w:pPr>
      <w:r>
        <w:rPr>
          <w:rFonts w:hint="eastAsia" w:ascii="方正大标宋简体" w:hAnsi="方正大标宋简体" w:eastAsia="方正大标宋简体" w:cs="方正大标宋简体"/>
          <w:color w:val="auto"/>
          <w:sz w:val="32"/>
          <w:szCs w:val="32"/>
          <w:shd w:val="clear" w:color="auto" w:fill="FFFFFF"/>
        </w:rPr>
        <w:t>（2022年</w:t>
      </w:r>
      <w:r>
        <w:rPr>
          <w:rFonts w:hint="eastAsia" w:ascii="方正大标宋简体" w:hAnsi="方正大标宋简体" w:eastAsia="方正大标宋简体" w:cs="方正大标宋简体"/>
          <w:color w:val="auto"/>
          <w:sz w:val="32"/>
          <w:szCs w:val="32"/>
          <w:shd w:val="clear" w:color="auto" w:fill="FFFFFF"/>
          <w:lang w:val="en-US" w:eastAsia="zh-CN"/>
        </w:rPr>
        <w:t>4</w:t>
      </w:r>
      <w:r>
        <w:rPr>
          <w:rFonts w:hint="eastAsia" w:ascii="方正大标宋简体" w:hAnsi="方正大标宋简体" w:eastAsia="方正大标宋简体" w:cs="方正大标宋简体"/>
          <w:color w:val="auto"/>
          <w:sz w:val="32"/>
          <w:szCs w:val="32"/>
          <w:shd w:val="clear" w:color="auto" w:fill="FFFFFF"/>
        </w:rPr>
        <w:t>月）</w:t>
      </w:r>
    </w:p>
    <w:p>
      <w:pPr>
        <w:rPr>
          <w:rFonts w:ascii="方正小标宋简体" w:hAnsi="方正小标宋简体" w:eastAsia="方正小标宋简体" w:cs="方正小标宋简体"/>
          <w:color w:val="auto"/>
          <w:sz w:val="44"/>
          <w:szCs w:val="44"/>
          <w:shd w:val="clear" w:color="auto" w:fill="FFFFFF"/>
        </w:rPr>
      </w:pPr>
    </w:p>
    <w:p>
      <w:pPr>
        <w:pStyle w:val="13"/>
        <w:widowControl/>
        <w:shd w:val="clear" w:color="auto" w:fill="FFFFFF"/>
        <w:spacing w:beforeAutospacing="0" w:afterAutospacing="0" w:line="360" w:lineRule="auto"/>
        <w:jc w:val="center"/>
        <w:rPr>
          <w:rFonts w:ascii="方正小标宋简体" w:hAnsi="方正小标宋简体" w:eastAsia="方正小标宋简体" w:cs="方正小标宋简体"/>
          <w:color w:val="auto"/>
          <w:sz w:val="28"/>
          <w:szCs w:val="28"/>
          <w:shd w:val="clear" w:color="auto" w:fill="FFFFFF"/>
        </w:rPr>
        <w:sectPr>
          <w:footerReference r:id="rId3" w:type="default"/>
          <w:pgSz w:w="11906" w:h="16838"/>
          <w:pgMar w:top="1440" w:right="1800" w:bottom="1440" w:left="1800" w:header="851" w:footer="992" w:gutter="0"/>
          <w:cols w:space="425" w:num="1"/>
          <w:docGrid w:type="lines" w:linePitch="312" w:charSpace="0"/>
        </w:sectPr>
      </w:pPr>
    </w:p>
    <w:p>
      <w:pPr>
        <w:pStyle w:val="13"/>
        <w:widowControl/>
        <w:shd w:val="clear" w:color="auto" w:fill="FFFFFF"/>
        <w:spacing w:beforeAutospacing="0" w:afterAutospacing="0" w:line="360" w:lineRule="auto"/>
        <w:jc w:val="center"/>
        <w:rPr>
          <w:rFonts w:ascii="方正大标宋简体" w:hAnsi="方正大标宋简体" w:eastAsia="方正大标宋简体" w:cs="方正大标宋简体"/>
          <w:color w:val="auto"/>
          <w:sz w:val="28"/>
          <w:szCs w:val="28"/>
          <w:shd w:val="clear" w:color="auto" w:fill="FFFFFF"/>
        </w:rPr>
      </w:pPr>
      <w:r>
        <w:rPr>
          <w:rFonts w:hint="eastAsia" w:ascii="方正大标宋简体" w:hAnsi="方正大标宋简体" w:eastAsia="方正大标宋简体" w:cs="方正大标宋简体"/>
          <w:color w:val="auto"/>
          <w:sz w:val="28"/>
          <w:szCs w:val="28"/>
          <w:shd w:val="clear" w:color="auto" w:fill="FFFFFF"/>
        </w:rPr>
        <w:t>采购公告</w:t>
      </w: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各供应商：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为贯彻落实《关于开展脱贫地区促进行动的通知》《广东省人民政府关于实施健康广东行动的意见》等有关文件精神，切实推进健康知识普及行动，本中心拟向有资质的第三方采购宣传物品一批。</w:t>
      </w:r>
    </w:p>
    <w:p>
      <w:pPr>
        <w:spacing w:line="360" w:lineRule="auto"/>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欢迎符合资质的供应商提供此项服务报价和服务方案，以及此项服务相关资质和供应商相关信息，并盖章密封，送至广州市天河区黄埔大道西463号广东省卫生健康宣传教育中心。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本次采购服务项目共1个为家庭健康包，采购需求见附件，只允许对包内所有内容进行报价，报价包含服务时所产生的所有相关费用（包括且不限于人员工资福利、运费、工具费、办公费、税金、相关培训费、管理酬金等）。确定采购供应商后签订采购合同（本次采购不收取报价保证金及资料费）。报价时需提供样品一套，并与应标资料一起装至同一包裹密封盖章。</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一、基本情况</w:t>
      </w:r>
    </w:p>
    <w:p>
      <w:pPr>
        <w:pStyle w:val="13"/>
        <w:widowControl/>
        <w:shd w:val="clear" w:color="auto" w:fill="FFFFFF"/>
        <w:spacing w:beforeAutospacing="0" w:afterAutospacing="0" w:line="360" w:lineRule="auto"/>
        <w:ind w:firstLine="583"/>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1.项目名称：广东省卫生健康宣传教育中心</w:t>
      </w:r>
      <w:r>
        <w:rPr>
          <w:rFonts w:hint="eastAsia" w:ascii="仿宋_GB2312" w:hAnsi="仿宋_GB2312" w:eastAsia="仿宋_GB2312" w:cs="仿宋_GB2312"/>
          <w:color w:val="auto"/>
          <w:sz w:val="28"/>
          <w:szCs w:val="28"/>
          <w:shd w:val="clear" w:color="auto" w:fill="FFFFFF"/>
        </w:rPr>
        <w:t>家庭健康包</w:t>
      </w:r>
      <w:r>
        <w:rPr>
          <w:rFonts w:hint="eastAsia" w:ascii="仿宋_GB2312" w:hAnsi="仿宋_GB2312" w:eastAsia="仿宋_GB2312" w:cs="仿宋_GB2312"/>
          <w:color w:val="auto"/>
          <w:sz w:val="28"/>
          <w:szCs w:val="28"/>
        </w:rPr>
        <w:t>项目</w:t>
      </w:r>
    </w:p>
    <w:p>
      <w:pPr>
        <w:pStyle w:val="13"/>
        <w:widowControl/>
        <w:shd w:val="clear" w:color="auto" w:fill="FFFFFF"/>
        <w:spacing w:beforeAutospacing="0" w:afterAutospacing="0" w:line="360" w:lineRule="auto"/>
        <w:ind w:firstLine="583"/>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2.项目编号：N20220</w:t>
      </w:r>
      <w:r>
        <w:rPr>
          <w:rFonts w:hint="eastAsia" w:ascii="仿宋_GB2312" w:hAnsi="仿宋_GB2312" w:eastAsia="仿宋_GB2312" w:cs="仿宋_GB2312"/>
          <w:color w:val="auto"/>
          <w:sz w:val="28"/>
          <w:szCs w:val="28"/>
          <w:lang w:val="en-US" w:eastAsia="zh-CN"/>
        </w:rPr>
        <w:t>411</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3.项目类别：货物类</w:t>
      </w:r>
    </w:p>
    <w:p>
      <w:pPr>
        <w:spacing w:line="360" w:lineRule="auto"/>
        <w:ind w:firstLine="562" w:firstLineChars="2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color w:val="auto"/>
          <w:sz w:val="28"/>
          <w:szCs w:val="28"/>
        </w:rPr>
        <w:t>最高限价：人民币肆拾伍万元</w:t>
      </w:r>
      <w:r>
        <w:rPr>
          <w:rFonts w:hint="eastAsia" w:ascii="仿宋_GB2312" w:hAnsi="仿宋_GB2312" w:eastAsia="仿宋_GB2312" w:cs="仿宋_GB2312"/>
          <w:color w:val="auto"/>
          <w:sz w:val="28"/>
          <w:szCs w:val="28"/>
          <w:lang w:eastAsia="zh-CN"/>
        </w:rPr>
        <w:t>整</w:t>
      </w:r>
      <w:r>
        <w:rPr>
          <w:rFonts w:hint="eastAsia" w:ascii="仿宋_GB2312" w:hAnsi="仿宋_GB2312" w:eastAsia="仿宋_GB2312" w:cs="仿宋_GB2312"/>
          <w:color w:val="auto"/>
          <w:sz w:val="28"/>
          <w:szCs w:val="28"/>
        </w:rPr>
        <w:t>（￥450000元）</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5.采购内容及用途：见用户需求书</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二、★</w:t>
      </w:r>
      <w:r>
        <w:rPr>
          <w:rFonts w:hint="eastAsia" w:ascii="仿宋_GB2312" w:hAnsi="仿宋_GB2312" w:eastAsia="仿宋_GB2312" w:cs="仿宋_GB2312"/>
          <w:b/>
          <w:color w:val="auto"/>
          <w:sz w:val="28"/>
          <w:szCs w:val="28"/>
        </w:rPr>
        <w:t>供应商资格要求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5.参加本次采购活动前三年内，在经营活动中没有重大违法记录。</w:t>
      </w:r>
    </w:p>
    <w:p>
      <w:pPr>
        <w:spacing w:line="360" w:lineRule="auto"/>
        <w:ind w:firstLine="562" w:firstLineChars="200"/>
        <w:rPr>
          <w:rFonts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szCs w:val="28"/>
          <w:u w:val="single"/>
        </w:rPr>
        <w:t>三、★本项目不接受联合体供应商。</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四、报名时间、地点</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1.信息发布时间：2022年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 xml:space="preserve">月 </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 xml:space="preserve"> 日至2022年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日</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2.递交资料时间：2022年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 xml:space="preserve"> 日1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：00以前,工作日上午9:00－11:45，下午2:00－1</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:00。</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3.递交资料地点：广州市天河区黄埔大道西463号51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房</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五、采购信息发布及结果公告网站</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广东12320网（www.guangdong12320.</w:t>
      </w:r>
      <w:r>
        <w:rPr>
          <w:rFonts w:ascii="仿宋_GB2312" w:hAnsi="仿宋_GB2312" w:eastAsia="仿宋_GB2312" w:cs="仿宋_GB2312"/>
          <w:color w:val="auto"/>
          <w:sz w:val="28"/>
          <w:szCs w:val="28"/>
        </w:rPr>
        <w:t>com</w:t>
      </w:r>
      <w:r>
        <w:rPr>
          <w:rFonts w:hint="eastAsia" w:ascii="仿宋_GB2312" w:hAnsi="仿宋_GB2312" w:eastAsia="仿宋_GB2312" w:cs="仿宋_GB2312"/>
          <w:color w:val="auto"/>
          <w:sz w:val="28"/>
          <w:szCs w:val="28"/>
        </w:rPr>
        <w:t>）及微信公众号“健康广东人”</w:t>
      </w:r>
    </w:p>
    <w:p>
      <w:pPr>
        <w:pStyle w:val="13"/>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rPr>
      </w:pPr>
      <w:r>
        <w:rPr>
          <w:rStyle w:val="16"/>
          <w:rFonts w:hint="eastAsia" w:ascii="仿宋_GB2312" w:hAnsi="仿宋_GB2312" w:eastAsia="仿宋_GB2312" w:cs="仿宋_GB2312"/>
          <w:color w:val="auto"/>
          <w:sz w:val="28"/>
          <w:szCs w:val="28"/>
          <w:shd w:val="clear" w:color="auto" w:fill="FFFFFF"/>
        </w:rPr>
        <w:t>附件：</w:t>
      </w:r>
      <w:r>
        <w:rPr>
          <w:rFonts w:hint="eastAsia" w:ascii="仿宋_GB2312" w:hAnsi="仿宋_GB2312" w:eastAsia="仿宋_GB2312" w:cs="仿宋_GB2312"/>
          <w:color w:val="auto"/>
          <w:sz w:val="28"/>
          <w:szCs w:val="28"/>
          <w:shd w:val="clear" w:color="auto" w:fill="FFFFFF"/>
        </w:rPr>
        <w:t>项目采购</w:t>
      </w:r>
      <w:r>
        <w:rPr>
          <w:rFonts w:hint="eastAsia" w:ascii="仿宋_GB2312" w:hAnsi="仿宋_GB2312" w:eastAsia="仿宋_GB2312" w:cs="仿宋_GB2312"/>
          <w:color w:val="auto"/>
          <w:sz w:val="28"/>
          <w:szCs w:val="28"/>
        </w:rPr>
        <w:t>资料</w:t>
      </w:r>
    </w:p>
    <w:p>
      <w:pPr>
        <w:pStyle w:val="13"/>
        <w:widowControl/>
        <w:shd w:val="clear" w:color="auto" w:fill="FFFFFF"/>
        <w:spacing w:beforeAutospacing="0" w:afterAutospacing="0" w:line="360" w:lineRule="auto"/>
        <w:ind w:firstLine="560" w:firstLineChars="2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联系人及联系电话：许先生：020-87077171</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地址：</w:t>
      </w:r>
      <w:r>
        <w:rPr>
          <w:rFonts w:hint="eastAsia" w:ascii="仿宋_GB2312" w:hAnsi="仿宋_GB2312" w:eastAsia="仿宋_GB2312" w:cs="仿宋_GB2312"/>
          <w:color w:val="auto"/>
          <w:kern w:val="0"/>
          <w:sz w:val="28"/>
          <w:szCs w:val="28"/>
          <w:shd w:val="clear" w:color="auto" w:fill="FFFFFF"/>
        </w:rPr>
        <w:t>广州市天</w:t>
      </w:r>
      <w:r>
        <w:rPr>
          <w:rFonts w:hint="eastAsia" w:ascii="仿宋_GB2312" w:hAnsi="仿宋_GB2312" w:eastAsia="仿宋_GB2312" w:cs="仿宋_GB2312"/>
          <w:color w:val="auto"/>
          <w:sz w:val="28"/>
          <w:szCs w:val="28"/>
        </w:rPr>
        <w:t>河区黄埔大道西463号512</w:t>
      </w:r>
      <w:r>
        <w:rPr>
          <w:rFonts w:hint="eastAsia" w:ascii="仿宋_GB2312" w:hAnsi="仿宋_GB2312" w:eastAsia="仿宋_GB2312" w:cs="仿宋_GB2312"/>
          <w:color w:val="auto"/>
          <w:kern w:val="0"/>
          <w:sz w:val="28"/>
          <w:szCs w:val="28"/>
          <w:shd w:val="clear" w:color="auto" w:fill="FFFFFF"/>
        </w:rPr>
        <w:t>房</w:t>
      </w:r>
    </w:p>
    <w:p>
      <w:pPr>
        <w:spacing w:line="360" w:lineRule="auto"/>
        <w:ind w:firstLine="560" w:firstLineChars="200"/>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rPr>
        <w:t>投诉电话：020-87031159  鲁先生</w:t>
      </w: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3"/>
        <w:widowControl/>
        <w:shd w:val="clear" w:color="auto" w:fill="FFFFFF"/>
        <w:spacing w:beforeAutospacing="0" w:afterAutospacing="0" w:line="360" w:lineRule="auto"/>
        <w:jc w:val="both"/>
        <w:rPr>
          <w:rFonts w:ascii="仿宋_GB2312" w:hAnsi="仿宋_GB2312" w:eastAsia="仿宋_GB2312" w:cs="仿宋_GB2312"/>
          <w:color w:val="auto"/>
          <w:sz w:val="28"/>
          <w:szCs w:val="28"/>
          <w:shd w:val="clear" w:color="auto" w:fill="FFFFFF"/>
        </w:rPr>
      </w:pPr>
    </w:p>
    <w:p>
      <w:pPr>
        <w:pStyle w:val="13"/>
        <w:widowControl/>
        <w:shd w:val="clear" w:color="auto" w:fill="FFFFFF"/>
        <w:spacing w:beforeAutospacing="0" w:afterAutospacing="0" w:line="360" w:lineRule="auto"/>
        <w:ind w:firstLine="4200" w:firstLineChars="1500"/>
        <w:jc w:val="both"/>
        <w:rPr>
          <w:rFonts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广东省卫生健康宣传教育中心</w:t>
      </w:r>
    </w:p>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shd w:val="clear" w:color="auto" w:fill="FFFFFF"/>
        </w:rPr>
        <w:t>2022年</w:t>
      </w:r>
      <w:r>
        <w:rPr>
          <w:rFonts w:hint="eastAsia" w:ascii="仿宋_GB2312" w:hAnsi="仿宋_GB2312" w:eastAsia="仿宋_GB2312" w:cs="仿宋_GB2312"/>
          <w:color w:val="auto"/>
          <w:sz w:val="28"/>
          <w:szCs w:val="28"/>
          <w:highlight w:val="none"/>
          <w:shd w:val="clear" w:color="auto" w:fill="FFFFFF"/>
          <w:lang w:val="en-US" w:eastAsia="zh-CN"/>
        </w:rPr>
        <w:t>4</w:t>
      </w:r>
      <w:r>
        <w:rPr>
          <w:rFonts w:hint="eastAsia" w:ascii="仿宋_GB2312" w:hAnsi="仿宋_GB2312" w:eastAsia="仿宋_GB2312" w:cs="仿宋_GB2312"/>
          <w:color w:val="auto"/>
          <w:sz w:val="28"/>
          <w:szCs w:val="28"/>
          <w:highlight w:val="none"/>
          <w:shd w:val="clear" w:color="auto" w:fill="FFFFFF"/>
        </w:rPr>
        <w:t>月</w:t>
      </w:r>
      <w:r>
        <w:rPr>
          <w:rFonts w:hint="eastAsia" w:ascii="仿宋_GB2312" w:hAnsi="仿宋_GB2312" w:eastAsia="仿宋_GB2312" w:cs="仿宋_GB2312"/>
          <w:color w:val="auto"/>
          <w:sz w:val="28"/>
          <w:szCs w:val="28"/>
          <w:highlight w:val="none"/>
          <w:shd w:val="clear" w:color="auto" w:fill="FFFFFF"/>
          <w:lang w:val="en-US" w:eastAsia="zh-CN"/>
        </w:rPr>
        <w:t>11</w:t>
      </w:r>
      <w:r>
        <w:rPr>
          <w:rFonts w:hint="eastAsia" w:ascii="仿宋_GB2312" w:hAnsi="仿宋_GB2312" w:eastAsia="仿宋_GB2312" w:cs="仿宋_GB2312"/>
          <w:color w:val="auto"/>
          <w:sz w:val="28"/>
          <w:szCs w:val="28"/>
          <w:highlight w:val="none"/>
          <w:shd w:val="clear" w:color="auto" w:fill="FFFFFF"/>
        </w:rPr>
        <w:t>日</w:t>
      </w:r>
    </w:p>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br w:type="page"/>
      </w:r>
    </w:p>
    <w:p>
      <w:pPr>
        <w:spacing w:line="360" w:lineRule="auto"/>
        <w:jc w:val="center"/>
        <w:rPr>
          <w:rFonts w:ascii="方正小标宋简体" w:hAnsi="方正小标宋简体" w:eastAsia="方正小标宋简体" w:cs="方正小标宋简体"/>
          <w:color w:val="auto"/>
          <w:sz w:val="28"/>
          <w:szCs w:val="28"/>
        </w:rPr>
      </w:pPr>
      <w:r>
        <w:rPr>
          <w:rFonts w:hint="eastAsia" w:ascii="方正大标宋简体" w:hAnsi="方正大标宋简体" w:eastAsia="方正大标宋简体" w:cs="方正大标宋简体"/>
          <w:b/>
          <w:bCs/>
          <w:color w:val="auto"/>
          <w:sz w:val="28"/>
          <w:szCs w:val="28"/>
        </w:rPr>
        <w:t>第一部分 用户需求书</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一、项目名称</w:t>
      </w:r>
    </w:p>
    <w:p>
      <w:pPr>
        <w:pStyle w:val="13"/>
        <w:widowControl/>
        <w:shd w:val="clear" w:color="auto" w:fill="FFFFFF"/>
        <w:spacing w:beforeAutospacing="0" w:afterAutospacing="0" w:line="360" w:lineRule="auto"/>
        <w:ind w:firstLine="583"/>
        <w:jc w:val="both"/>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广东省卫生健康宣传教育中心</w:t>
      </w:r>
      <w:r>
        <w:rPr>
          <w:rFonts w:hint="eastAsia" w:ascii="仿宋_GB2312" w:hAnsi="仿宋_GB2312" w:eastAsia="仿宋_GB2312" w:cs="仿宋_GB2312"/>
          <w:color w:val="auto"/>
          <w:sz w:val="28"/>
          <w:szCs w:val="28"/>
          <w:shd w:val="clear" w:color="auto" w:fill="FFFFFF"/>
        </w:rPr>
        <w:t>家庭健康包</w:t>
      </w:r>
      <w:r>
        <w:rPr>
          <w:rFonts w:hint="eastAsia" w:ascii="仿宋_GB2312" w:hAnsi="仿宋_GB2312" w:eastAsia="仿宋_GB2312" w:cs="仿宋_GB2312"/>
          <w:color w:val="auto"/>
          <w:sz w:val="28"/>
          <w:szCs w:val="28"/>
        </w:rPr>
        <w:t>项目</w:t>
      </w:r>
    </w:p>
    <w:p>
      <w:pPr>
        <w:spacing w:line="360" w:lineRule="auto"/>
        <w:ind w:firstLine="562"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二、采购预算</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45</w:t>
      </w:r>
      <w:r>
        <w:rPr>
          <w:rFonts w:hint="eastAsia" w:ascii="仿宋_GB2312" w:hAnsi="仿宋_GB2312" w:eastAsia="仿宋_GB2312" w:cs="仿宋_GB2312"/>
          <w:color w:val="auto"/>
          <w:sz w:val="28"/>
          <w:szCs w:val="28"/>
        </w:rPr>
        <w:t>万元</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三、服务内容</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制作15000个家庭健康包，每个健康包包括：</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根水银体温计（带说明：手持体温计玻璃端水平读取）、</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1把腰围尺：（带说明：男女腰围的正常范围。）、</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1个限盐勺（带说明</w:t>
      </w:r>
      <w:bookmarkStart w:id="85" w:name="_GoBack"/>
      <w:bookmarkEnd w:id="85"/>
      <w:r>
        <w:rPr>
          <w:rFonts w:hint="eastAsia" w:ascii="仿宋_GB2312" w:hAnsi="仿宋_GB2312" w:eastAsia="仿宋_GB2312" w:cs="仿宋_GB2312"/>
          <w:b w:val="0"/>
          <w:bCs w:val="0"/>
          <w:color w:val="auto"/>
          <w:sz w:val="28"/>
          <w:szCs w:val="28"/>
        </w:rPr>
        <w:t>：盐不能超过5g）、</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1个限油壶（玻璃油壶）（带说明：油不超过30g）、</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1张“及早戒烟、限量饮酒”的冰箱贴</w:t>
      </w:r>
      <w:r>
        <w:rPr>
          <w:rFonts w:hint="eastAsia" w:ascii="仿宋_GB2312" w:hAnsi="仿宋_GB2312" w:eastAsia="仿宋_GB2312" w:cs="仿宋_GB2312"/>
          <w:b w:val="0"/>
          <w:bCs w:val="0"/>
          <w:color w:val="auto"/>
          <w:sz w:val="28"/>
          <w:szCs w:val="28"/>
          <w:lang w:eastAsia="zh-CN"/>
        </w:rPr>
        <w:t>、</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1张“12320—全国统一的免费卫生热线电话号码”的冰箱贴</w:t>
      </w:r>
      <w:r>
        <w:rPr>
          <w:rFonts w:hint="eastAsia" w:ascii="仿宋_GB2312" w:hAnsi="仿宋_GB2312" w:eastAsia="仿宋_GB2312" w:cs="仿宋_GB2312"/>
          <w:b w:val="0"/>
          <w:bCs w:val="0"/>
          <w:color w:val="auto"/>
          <w:sz w:val="28"/>
          <w:szCs w:val="28"/>
          <w:lang w:eastAsia="zh-CN"/>
        </w:rPr>
        <w:t>、</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1瓶</w:t>
      </w: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ml风油精（带说明：如何清除积水、预防蚊子叮咬）、</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10个医用外科口罩（带说明：如何正确佩戴口罩）、</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1瓶碘伏（100ml）、</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1盒创口贴（5片）、</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瓶免洗洗手液（100ml）（带说明：七步洗手法）、</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1份使用说明书（内容为健康包里工具的使用说明）、</w:t>
      </w:r>
    </w:p>
    <w:p>
      <w:pPr>
        <w:adjustRightInd w:val="0"/>
        <w:snapToGrid w:val="0"/>
        <w:spacing w:line="360" w:lineRule="auto"/>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1个包装或容器（装上述有关物件,包装上印刷“家庭健康包”、制作单位：广东省卫生健康宣传教育中心</w:t>
      </w:r>
      <w:r>
        <w:rPr>
          <w:rFonts w:hint="eastAsia" w:ascii="仿宋_GB2312" w:hAnsi="仿宋_GB2312" w:eastAsia="仿宋_GB2312" w:cs="仿宋_GB2312"/>
          <w:b w:val="0"/>
          <w:bCs w:val="0"/>
          <w:color w:val="auto"/>
          <w:sz w:val="28"/>
          <w:szCs w:val="28"/>
          <w:lang w:val="en-US" w:eastAsia="zh-CN"/>
        </w:rPr>
        <w:t>与</w:t>
      </w:r>
      <w:r>
        <w:rPr>
          <w:rFonts w:hint="eastAsia" w:asciiTheme="minorEastAsia" w:hAnsiTheme="minorEastAsia" w:cstheme="minorEastAsia"/>
          <w:color w:val="auto"/>
          <w:sz w:val="28"/>
          <w:szCs w:val="28"/>
        </w:rPr>
        <w:t>宣传标语</w:t>
      </w:r>
      <w:r>
        <w:rPr>
          <w:rFonts w:hint="eastAsia" w:ascii="仿宋_GB2312" w:hAnsi="仿宋_GB2312" w:eastAsia="仿宋_GB2312" w:cs="仿宋_GB2312"/>
          <w:b w:val="0"/>
          <w:bCs w:val="0"/>
          <w:color w:val="auto"/>
          <w:sz w:val="28"/>
          <w:szCs w:val="28"/>
        </w:rPr>
        <w:t>）。</w:t>
      </w:r>
    </w:p>
    <w:p>
      <w:pPr>
        <w:adjustRightInd w:val="0"/>
        <w:snapToGrid w:val="0"/>
        <w:spacing w:line="360" w:lineRule="auto"/>
        <w:ind w:firstLine="560" w:firstLineChars="200"/>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于合同签订后30天内分别发送600套到广东省卫生健康宣传教育中心（地址：广州市天河区黄埔大道西463号）、其余14400个送到粤东西北共4个点，每个点3600个，具体地点待定。</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四、供应商资格</w:t>
      </w:r>
      <w:r>
        <w:rPr>
          <w:rFonts w:hint="eastAsia" w:ascii="仿宋_GB2312" w:hAnsi="仿宋_GB2312" w:eastAsia="仿宋_GB2312" w:cs="仿宋_GB2312"/>
          <w:b/>
          <w:color w:val="auto"/>
          <w:sz w:val="28"/>
          <w:szCs w:val="28"/>
        </w:rPr>
        <w:t>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1.必须具备《中国人民共和国政府采购法》第二十二条要求；</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2.必须是在中华人民共和国境内注册的企业法人（包括企、事业法人）。</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3.具有独立承担民事责任的能力，具有良好的商业信誉和健全的财务会计制度，具有履行合同所必需的设备和专业技术能力，有依法缴纳税收和社会保障资金的良好记录；</w:t>
      </w:r>
    </w:p>
    <w:p>
      <w:pPr>
        <w:pStyle w:val="2"/>
        <w:ind w:left="0" w:leftChars="0" w:firstLine="54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4.参加本次采购活动前三年内，在经营活动中没有重大违法记录。</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五、质量指标要求</w:t>
      </w:r>
    </w:p>
    <w:p>
      <w:pPr>
        <w:adjustRightInd w:val="0"/>
        <w:snapToGrid w:val="0"/>
        <w:spacing w:line="360" w:lineRule="auto"/>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1.按照要求制作家庭健康包，不得缺少所要求的任何产品。</w:t>
      </w:r>
    </w:p>
    <w:p>
      <w:pPr>
        <w:adjustRightInd w:val="0"/>
        <w:snapToGrid w:val="0"/>
        <w:spacing w:line="360" w:lineRule="auto"/>
        <w:ind w:firstLine="57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2.包内所有物品必须符合国家有关质量标准，保证能正常使用。</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六、报价要求</w:t>
      </w:r>
    </w:p>
    <w:p>
      <w:pPr>
        <w:adjustRightInd w:val="0"/>
        <w:snapToGrid w:val="0"/>
        <w:spacing w:line="360" w:lineRule="auto"/>
        <w:ind w:firstLine="560"/>
        <w:rPr>
          <w:rFonts w:ascii="宋体" w:hAnsi="Courier New"/>
          <w:color w:val="auto"/>
          <w:sz w:val="18"/>
        </w:rPr>
      </w:pPr>
      <w:r>
        <w:rPr>
          <w:rFonts w:hint="eastAsia" w:ascii="仿宋_GB2312" w:hAnsi="仿宋_GB2312" w:eastAsia="仿宋_GB2312" w:cs="仿宋_GB2312"/>
          <w:color w:val="auto"/>
          <w:sz w:val="28"/>
          <w:szCs w:val="28"/>
        </w:rPr>
        <w:t>本项目的承包方式为总价包干。供应商对项目进行整体报价。</w:t>
      </w:r>
      <w:r>
        <w:rPr>
          <w:rFonts w:hint="eastAsia" w:ascii="仿宋_GB2312" w:hAnsi="仿宋_GB2312" w:eastAsia="仿宋_GB2312" w:cs="仿宋_GB2312"/>
          <w:color w:val="auto"/>
          <w:sz w:val="28"/>
          <w:szCs w:val="28"/>
          <w:shd w:val="clear" w:color="auto" w:fill="FFFFFF"/>
        </w:rPr>
        <w:t>报价包含服务时所产生的所有相关费用（包括运费和税费等）。项目费用总额不得高于</w:t>
      </w:r>
      <w:r>
        <w:rPr>
          <w:rFonts w:hint="eastAsia" w:ascii="仿宋_GB2312" w:hAnsi="仿宋_GB2312" w:eastAsia="仿宋_GB2312" w:cs="仿宋_GB2312"/>
          <w:color w:val="auto"/>
          <w:sz w:val="28"/>
          <w:szCs w:val="28"/>
        </w:rPr>
        <w:t>人民币肆拾伍万元整（￥450000元）。</w:t>
      </w:r>
    </w:p>
    <w:p>
      <w:pPr>
        <w:adjustRightInd w:val="0"/>
        <w:snapToGrid w:val="0"/>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七、支付方式</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中标供应商于中标后5个工作日内签订合同；合同签订后，中标人向采购人以银行转账方式缴纳合同总额10%的履约保证金后合同生效。</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 采购人在合同生效后5个工作日内支付合同金额的80%，项目全部货品验收合格且缺陷责任期满后1个月内支付合同金额的20%。 </w:t>
      </w:r>
    </w:p>
    <w:p>
      <w:pPr>
        <w:spacing w:line="312"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合同到期后如无质量问题，采购人无息退还履约保证金。</w:t>
      </w:r>
    </w:p>
    <w:p>
      <w:pPr>
        <w:widowControl/>
        <w:jc w:val="left"/>
        <w:rPr>
          <w:rFonts w:ascii="仿宋_GB2312" w:hAnsi="仿宋_GB2312" w:eastAsia="仿宋_GB2312" w:cs="仿宋_GB2312"/>
          <w:color w:val="auto"/>
          <w:sz w:val="28"/>
          <w:szCs w:val="28"/>
        </w:rPr>
      </w:pPr>
      <w:bookmarkStart w:id="0" w:name="_Toc454803235"/>
      <w:bookmarkStart w:id="1" w:name="_Toc46308688"/>
      <w:bookmarkStart w:id="2" w:name="_Toc41884707"/>
      <w:bookmarkStart w:id="3" w:name="_Toc98579012"/>
      <w:bookmarkStart w:id="4" w:name="_Toc42394518"/>
      <w:bookmarkStart w:id="5" w:name="_Toc42394674"/>
      <w:bookmarkStart w:id="6" w:name="_Toc46308532"/>
      <w:bookmarkStart w:id="7" w:name="_Toc41723937"/>
      <w:bookmarkStart w:id="8" w:name="_Toc42313173"/>
      <w:bookmarkStart w:id="9" w:name="_Toc50276205"/>
      <w:bookmarkStart w:id="10" w:name="_Toc98035090"/>
      <w:bookmarkStart w:id="11" w:name="_Toc98580294"/>
      <w:bookmarkStart w:id="12" w:name="_Toc98579611"/>
      <w:bookmarkStart w:id="13" w:name="_Toc98579070"/>
      <w:bookmarkStart w:id="14" w:name="_Toc50276166"/>
      <w:r>
        <w:rPr>
          <w:rFonts w:hint="eastAsia" w:ascii="仿宋_GB2312" w:hAnsi="仿宋_GB2312" w:eastAsia="仿宋_GB2312" w:cs="仿宋_GB2312"/>
          <w:color w:val="auto"/>
          <w:sz w:val="28"/>
          <w:szCs w:val="28"/>
        </w:rPr>
        <w:br w:type="page"/>
      </w:r>
    </w:p>
    <w:p>
      <w:pPr>
        <w:widowControl/>
        <w:spacing w:line="360" w:lineRule="auto"/>
        <w:jc w:val="center"/>
        <w:rPr>
          <w:rFonts w:ascii="方正大标宋简体" w:hAnsi="方正大标宋简体" w:eastAsia="方正大标宋简体" w:cs="方正大标宋简体"/>
          <w:color w:val="auto"/>
          <w:sz w:val="28"/>
          <w:szCs w:val="28"/>
        </w:rPr>
      </w:pPr>
      <w:r>
        <w:rPr>
          <w:rFonts w:hint="eastAsia" w:ascii="方正大标宋简体" w:hAnsi="方正大标宋简体" w:eastAsia="方正大标宋简体" w:cs="方正大标宋简体"/>
          <w:b/>
          <w:bCs/>
          <w:color w:val="auto"/>
          <w:sz w:val="28"/>
          <w:szCs w:val="28"/>
        </w:rPr>
        <w:t>第二部分 评审办法及程序</w:t>
      </w:r>
      <w:bookmarkEnd w:id="0"/>
    </w:p>
    <w:p>
      <w:pPr>
        <w:widowControl/>
        <w:spacing w:line="360" w:lineRule="auto"/>
        <w:ind w:firstLine="562" w:firstLineChars="200"/>
        <w:jc w:val="left"/>
        <w:rPr>
          <w:rFonts w:ascii="仿宋_GB2312" w:hAnsi="仿宋_GB2312" w:eastAsia="仿宋_GB2312" w:cs="仿宋_GB2312"/>
          <w:b/>
          <w:bCs/>
          <w:color w:val="auto"/>
          <w:sz w:val="28"/>
          <w:szCs w:val="28"/>
        </w:rPr>
      </w:pPr>
      <w:bookmarkStart w:id="15" w:name="_Toc454803236"/>
      <w:bookmarkStart w:id="16" w:name="_Toc50276153"/>
      <w:bookmarkStart w:id="17" w:name="_Toc98579606"/>
      <w:bookmarkStart w:id="18" w:name="_Toc98580289"/>
      <w:bookmarkStart w:id="19" w:name="_Toc42394669"/>
      <w:bookmarkStart w:id="20" w:name="_Toc98579007"/>
      <w:bookmarkStart w:id="21" w:name="_Toc98579065"/>
      <w:bookmarkStart w:id="22" w:name="_Toc42394513"/>
      <w:bookmarkStart w:id="23" w:name="_Toc41723931"/>
      <w:bookmarkStart w:id="24" w:name="_Toc41884701"/>
      <w:bookmarkStart w:id="25" w:name="_Toc42313167"/>
      <w:r>
        <w:rPr>
          <w:rFonts w:hint="eastAsia" w:ascii="仿宋_GB2312" w:hAnsi="仿宋_GB2312" w:eastAsia="仿宋_GB2312" w:cs="仿宋_GB2312"/>
          <w:b/>
          <w:bCs/>
          <w:color w:val="auto"/>
          <w:sz w:val="28"/>
          <w:szCs w:val="28"/>
        </w:rPr>
        <w:t>一、评审办法</w:t>
      </w:r>
      <w:bookmarkEnd w:id="15"/>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（一）评审方法采用综合评分法。</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（二）通过符合性审查的有效供应商方有资格进入综合评审。</w:t>
      </w:r>
    </w:p>
    <w:p>
      <w:pPr>
        <w:widowControl/>
        <w:spacing w:line="360" w:lineRule="auto"/>
        <w:ind w:firstLine="562" w:firstLineChars="200"/>
        <w:jc w:val="left"/>
        <w:rPr>
          <w:rFonts w:ascii="仿宋_GB2312" w:hAnsi="仿宋_GB2312" w:eastAsia="仿宋_GB2312" w:cs="仿宋_GB2312"/>
          <w:color w:val="auto"/>
          <w:sz w:val="28"/>
          <w:szCs w:val="28"/>
        </w:rPr>
      </w:pPr>
      <w:bookmarkStart w:id="26" w:name="_Toc454803237"/>
      <w:r>
        <w:rPr>
          <w:rFonts w:hint="eastAsia" w:ascii="仿宋_GB2312" w:hAnsi="仿宋_GB2312" w:eastAsia="仿宋_GB2312" w:cs="仿宋_GB2312"/>
          <w:b/>
          <w:bCs/>
          <w:color w:val="auto"/>
          <w:sz w:val="28"/>
          <w:szCs w:val="28"/>
        </w:rPr>
        <w:t>二、评审小组</w:t>
      </w:r>
      <w:bookmarkEnd w:id="2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（一）组成</w:t>
      </w:r>
    </w:p>
    <w:p>
      <w:pPr>
        <w:widowControl/>
        <w:spacing w:line="360" w:lineRule="auto"/>
        <w:ind w:left="279" w:leftChars="133" w:firstLine="280" w:firstLineChars="1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1.本次采购依法组建评审小组，评审小组由广东省卫生健康宣传教育中心评审小组组成。</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2.评审小组将按照本评审文件确定的评审方法进行评审。对评审文件中描述有歧义或前后不一致的地方，评审小组有权按法律法规的规定进行评判，但对同一条款的评判应适用于每个供应商。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（二）职责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评审小组负责评审工作，对评审中的重大问题通过投票决定。任何人不得干预评审小组的工作。评审小组下设评审工作小组，主要由相关单位工作人员组成，负责整理、记录等工作。</w:t>
      </w:r>
    </w:p>
    <w:bookmarkEnd w:id="16"/>
    <w:bookmarkEnd w:id="17"/>
    <w:bookmarkEnd w:id="18"/>
    <w:bookmarkEnd w:id="19"/>
    <w:bookmarkEnd w:id="20"/>
    <w:bookmarkEnd w:id="21"/>
    <w:bookmarkEnd w:id="22"/>
    <w:p>
      <w:pPr>
        <w:widowControl/>
        <w:spacing w:line="360" w:lineRule="auto"/>
        <w:ind w:firstLine="562" w:firstLineChars="200"/>
        <w:jc w:val="left"/>
        <w:rPr>
          <w:rFonts w:ascii="仿宋_GB2312" w:hAnsi="仿宋_GB2312" w:eastAsia="仿宋_GB2312" w:cs="仿宋_GB2312"/>
          <w:color w:val="auto"/>
          <w:sz w:val="28"/>
          <w:szCs w:val="28"/>
        </w:rPr>
      </w:pPr>
      <w:bookmarkStart w:id="27" w:name="_Toc101771376"/>
      <w:bookmarkStart w:id="28" w:name="_Toc454803238"/>
      <w:bookmarkStart w:id="29" w:name="_Toc101775129"/>
      <w:bookmarkStart w:id="30" w:name="_Toc101951267"/>
      <w:bookmarkStart w:id="31" w:name="_Toc101843129"/>
      <w:r>
        <w:rPr>
          <w:rFonts w:hint="eastAsia" w:ascii="仿宋_GB2312" w:hAnsi="仿宋_GB2312" w:eastAsia="仿宋_GB2312" w:cs="仿宋_GB2312"/>
          <w:b/>
          <w:bCs/>
          <w:color w:val="auto"/>
          <w:sz w:val="28"/>
          <w:szCs w:val="28"/>
        </w:rPr>
        <w:t>三、评审程序</w:t>
      </w:r>
      <w:bookmarkEnd w:id="27"/>
      <w:bookmarkEnd w:id="28"/>
      <w:bookmarkEnd w:id="29"/>
      <w:bookmarkEnd w:id="30"/>
      <w:bookmarkEnd w:id="31"/>
      <w:r>
        <w:rPr>
          <w:rFonts w:hint="eastAsia" w:ascii="仿宋_GB2312" w:hAnsi="仿宋_GB2312" w:eastAsia="仿宋_GB2312" w:cs="仿宋_GB2312"/>
          <w:b/>
          <w:bCs/>
          <w:color w:val="auto"/>
          <w:sz w:val="28"/>
          <w:szCs w:val="28"/>
        </w:rPr>
        <w:t>和标准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(一)报价人资格审查和符合性审查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1.评审小组将根据评审细则的规定，对各响应文件进行符合性审查。</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2.报价人响应文件出现下列情况之一时将被认定为无效响应：</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（1）响应文件不完整；</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（2）响应文件没有法定代表人签字，或签字人没有被法定代表人有效授权；</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（3）报价有效期不满足采购项目要求；</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（4）响应文件附有采购人不能接受的条件；</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（5）报价总价超过财政预算。</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小组认为，供应商的报价明显不合理或者明显低于其他报价，有可能影响商品质量和不能诚信履约的，应当要求该供应商作出书面说明并提供相关证明材料。供应商不能合理说明或者不能提供相关证明材料的，由评审小组认定该供应商以低于成本报价竞标，响应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4.评审小组进行符合性审查时发现供应商有实质性不响应采购文件的，由工作人员现场告知该供应商并说明理由。</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在评审过程中，供应商提交的澄清文件和最终响应文件，由供应商法定代表人或授权代表签署后生效，供应商应受其约束。因此，该签字人参加评审时需出示有效的身份证明文件，否则，其签字的澄清文件和最终响应文件无效。</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6.被评审小组确定为响应文件无效的，其响应文件即被视为不能通过符合性审查，不参与商务和价格的评审。</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7.对响应文件中含义不明确、同类问题表述不一致或者有明显文字和计算错误的内容，评审小组可以书面形式要求供应商作出必要的澄清、说明或者纠正。</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8.供应商的澄清、说明或者补正应当采用书面形式，由其授权的代表签字，并不得超出响应文件的范围或者改变响应文件的实质性内容。</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（二）评审标准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评分总值最高为100分。</w:t>
      </w:r>
    </w:p>
    <w:tbl>
      <w:tblPr>
        <w:tblStyle w:val="14"/>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76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序号</w:t>
            </w:r>
          </w:p>
        </w:tc>
        <w:tc>
          <w:tcPr>
            <w:tcW w:w="1269"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评分因素</w:t>
            </w:r>
          </w:p>
        </w:tc>
        <w:tc>
          <w:tcPr>
            <w:tcW w:w="955"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分值</w:t>
            </w:r>
          </w:p>
        </w:tc>
        <w:tc>
          <w:tcPr>
            <w:tcW w:w="4760" w:type="dxa"/>
            <w:vAlign w:val="center"/>
          </w:tcPr>
          <w:p>
            <w:pPr>
              <w:spacing w:line="44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评分标准（以下评分标准为举例）</w:t>
            </w:r>
          </w:p>
        </w:tc>
        <w:tc>
          <w:tcPr>
            <w:tcW w:w="2641" w:type="dxa"/>
            <w:vAlign w:val="center"/>
          </w:tcPr>
          <w:p>
            <w:pPr>
              <w:pStyle w:val="28"/>
              <w:spacing w:before="0" w:after="0" w:line="440" w:lineRule="exact"/>
              <w:rPr>
                <w:rFonts w:asciiTheme="minorEastAsia" w:hAnsiTheme="minorEastAsia" w:eastAsiaTheme="minorEastAsia" w:cstheme="minorEastAsia"/>
                <w:b w:val="0"/>
                <w:color w:val="auto"/>
              </w:rPr>
            </w:pPr>
            <w:r>
              <w:rPr>
                <w:rFonts w:hint="eastAsia" w:asciiTheme="minorEastAsia" w:hAnsiTheme="minorEastAsia" w:eastAsiaTheme="minorEastAsia" w:cstheme="minorEastAsia"/>
                <w:b w:val="0"/>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1</w:t>
            </w:r>
          </w:p>
        </w:tc>
        <w:tc>
          <w:tcPr>
            <w:tcW w:w="1269" w:type="dxa"/>
            <w:vAlign w:val="center"/>
          </w:tcPr>
          <w:p>
            <w:pPr>
              <w:spacing w:line="360" w:lineRule="exact"/>
              <w:rPr>
                <w:rFonts w:asciiTheme="minorEastAsia" w:hAnsiTheme="minorEastAsia" w:cstheme="minorEastAsia"/>
                <w:color w:val="auto"/>
                <w:sz w:val="24"/>
              </w:rPr>
            </w:pPr>
            <w:r>
              <w:rPr>
                <w:rFonts w:hint="eastAsia" w:asciiTheme="minorEastAsia" w:hAnsiTheme="minorEastAsia" w:cstheme="minorEastAsia"/>
                <w:color w:val="auto"/>
                <w:sz w:val="24"/>
              </w:rPr>
              <w:t>投标报价</w:t>
            </w:r>
          </w:p>
        </w:tc>
        <w:tc>
          <w:tcPr>
            <w:tcW w:w="955" w:type="dxa"/>
            <w:vAlign w:val="center"/>
          </w:tcPr>
          <w:p>
            <w:pPr>
              <w:spacing w:line="360" w:lineRule="exact"/>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lang w:val="en-US" w:eastAsia="zh-CN"/>
              </w:rPr>
              <w:t>10</w:t>
            </w:r>
          </w:p>
        </w:tc>
        <w:tc>
          <w:tcPr>
            <w:tcW w:w="4760" w:type="dxa"/>
            <w:vAlign w:val="center"/>
          </w:tcPr>
          <w:p>
            <w:pPr>
              <w:widowControl/>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有效的投标报价中的最低价为评标基准价，按照下列公式计算每个投标人的投标价格得分。</w:t>
            </w:r>
          </w:p>
          <w:p>
            <w:pPr>
              <w:widowControl/>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投标报价得分＝（评标基准价/投标报价）×价格权重×100。</w:t>
            </w:r>
          </w:p>
        </w:tc>
        <w:tc>
          <w:tcPr>
            <w:tcW w:w="2641" w:type="dxa"/>
            <w:vAlign w:val="center"/>
          </w:tcPr>
          <w:p>
            <w:pPr>
              <w:spacing w:line="360" w:lineRule="exact"/>
              <w:rPr>
                <w:rFonts w:asciiTheme="minorEastAsia" w:hAnsiTheme="minorEastAsia" w:cstheme="minorEastAsia"/>
                <w:color w:val="auto"/>
                <w:sz w:val="24"/>
              </w:rPr>
            </w:pPr>
            <w:r>
              <w:rPr>
                <w:rFonts w:hint="eastAsia" w:asciiTheme="minorEastAsia" w:hAnsiTheme="minorEastAsia" w:cstheme="minorEastAsia"/>
                <w:color w:val="auto"/>
                <w:sz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05" w:type="dxa"/>
            <w:vAlign w:val="center"/>
          </w:tcPr>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2</w:t>
            </w:r>
          </w:p>
        </w:tc>
        <w:tc>
          <w:tcPr>
            <w:tcW w:w="1269" w:type="dxa"/>
            <w:vAlign w:val="center"/>
          </w:tcPr>
          <w:p>
            <w:pPr>
              <w:spacing w:line="360" w:lineRule="exact"/>
              <w:jc w:val="center"/>
              <w:rPr>
                <w:rFonts w:asciiTheme="minorEastAsia" w:hAnsiTheme="minorEastAsia" w:cstheme="minorEastAsia"/>
                <w:color w:val="auto"/>
                <w:sz w:val="24"/>
              </w:rPr>
            </w:pPr>
          </w:p>
          <w:p>
            <w:pPr>
              <w:spacing w:line="36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技术部分</w:t>
            </w:r>
          </w:p>
          <w:p>
            <w:pPr>
              <w:spacing w:line="360" w:lineRule="exact"/>
              <w:jc w:val="center"/>
              <w:rPr>
                <w:rFonts w:asciiTheme="minorEastAsia" w:hAnsiTheme="minorEastAsia" w:cstheme="minorEastAsia"/>
                <w:color w:val="auto"/>
                <w:sz w:val="24"/>
              </w:rPr>
            </w:pPr>
          </w:p>
        </w:tc>
        <w:tc>
          <w:tcPr>
            <w:tcW w:w="955" w:type="dxa"/>
            <w:vAlign w:val="center"/>
          </w:tcPr>
          <w:p>
            <w:pPr>
              <w:widowControl/>
              <w:spacing w:line="300" w:lineRule="exact"/>
              <w:jc w:val="center"/>
              <w:outlineLvl w:val="2"/>
              <w:rPr>
                <w:rFonts w:hint="eastAsia" w:asciiTheme="minorEastAsia" w:hAnsiTheme="minorEastAsia" w:eastAsiaTheme="minorEastAsia" w:cstheme="minorEastAsia"/>
                <w:color w:val="auto"/>
                <w:sz w:val="24"/>
                <w:lang w:val="en-US" w:eastAsia="zh-CN"/>
              </w:rPr>
            </w:pPr>
            <w:r>
              <w:rPr>
                <w:rFonts w:hint="eastAsia" w:asciiTheme="minorEastAsia" w:hAnsiTheme="minorEastAsia" w:cstheme="minorEastAsia"/>
                <w:color w:val="auto"/>
                <w:sz w:val="24"/>
              </w:rPr>
              <w:t>7</w:t>
            </w:r>
            <w:r>
              <w:rPr>
                <w:rFonts w:hint="eastAsia" w:asciiTheme="minorEastAsia" w:hAnsiTheme="minorEastAsia" w:cstheme="minorEastAsia"/>
                <w:color w:val="auto"/>
                <w:sz w:val="24"/>
                <w:lang w:val="en-US" w:eastAsia="zh-CN"/>
              </w:rPr>
              <w:t>0</w:t>
            </w:r>
          </w:p>
        </w:tc>
        <w:tc>
          <w:tcPr>
            <w:tcW w:w="4760" w:type="dxa"/>
            <w:vAlign w:val="center"/>
          </w:tcPr>
          <w:p>
            <w:pPr>
              <w:widowControl/>
              <w:numPr>
                <w:ilvl w:val="0"/>
                <w:numId w:val="1"/>
              </w:numPr>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rPr>
              <w:t>水银体温计有包装盒，符合国家质量标准，测量误差在国家标准范围内，</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numPr>
                <w:ilvl w:val="0"/>
                <w:numId w:val="1"/>
              </w:numPr>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rPr>
              <w:t>腰围尺具有BMI指数查询功能，</w:t>
            </w:r>
            <w:r>
              <w:rPr>
                <w:rFonts w:hint="eastAsia" w:asciiTheme="minorEastAsia" w:hAnsiTheme="minorEastAsia" w:cstheme="minorEastAsia"/>
                <w:color w:val="auto"/>
                <w:sz w:val="24"/>
                <w:lang w:eastAsia="zh-CN"/>
              </w:rPr>
              <w:t>能测量肥胖，并有腰围警示，有体重指数转盘功能。</w:t>
            </w:r>
            <w:r>
              <w:rPr>
                <w:rFonts w:hint="eastAsia" w:asciiTheme="minorEastAsia" w:hAnsiTheme="minorEastAsia" w:cstheme="minorEastAsia"/>
                <w:color w:val="auto"/>
                <w:sz w:val="24"/>
              </w:rPr>
              <w:t>规格:1.5米长</w:t>
            </w:r>
            <w:r>
              <w:rPr>
                <w:rFonts w:hint="eastAsia" w:asciiTheme="minorEastAsia" w:hAnsiTheme="minorEastAsia" w:cstheme="minorEastAsia"/>
                <w:color w:val="auto"/>
                <w:sz w:val="24"/>
                <w:lang w:eastAsia="zh-CN"/>
              </w:rPr>
              <w:t>，材质:外壳ABS尺带Pxe。</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numPr>
                <w:ilvl w:val="0"/>
                <w:numId w:val="1"/>
              </w:numPr>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rPr>
              <w:t>限盐勺为2g,符合国家标准食品级用材,产品无毛刺，有独立包装袋，</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w:t>
            </w:r>
          </w:p>
          <w:p>
            <w:pPr>
              <w:widowControl/>
              <w:numPr>
                <w:ilvl w:val="0"/>
                <w:numId w:val="0"/>
              </w:numPr>
              <w:spacing w:line="300" w:lineRule="exact"/>
              <w:jc w:val="left"/>
              <w:rPr>
                <w:rFonts w:asciiTheme="minorEastAsia" w:hAnsiTheme="minorEastAsia" w:cstheme="minorEastAsia"/>
                <w:color w:val="auto"/>
                <w:sz w:val="24"/>
              </w:rPr>
            </w:pPr>
            <w:r>
              <w:rPr>
                <w:rFonts w:hint="eastAsia" w:asciiTheme="minorEastAsia" w:hAnsiTheme="minorEastAsia" w:cstheme="minorEastAsia"/>
                <w:b/>
                <w:bCs/>
                <w:color w:val="auto"/>
                <w:sz w:val="24"/>
                <w:highlight w:val="none"/>
              </w:rPr>
              <w:t>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numPr>
                <w:ilvl w:val="0"/>
                <w:numId w:val="0"/>
              </w:numPr>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rPr>
              <w:t>限油壶为</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材质:秸杆+玻璃，尺寸:油壶直径7.5cm高17cm容量:400ml，外盒包装:彩盒装限油壶。</w:t>
            </w:r>
            <w:r>
              <w:rPr>
                <w:rFonts w:hint="eastAsia" w:asciiTheme="minorEastAsia" w:hAnsiTheme="minorEastAsia" w:cstheme="minorEastAsia"/>
                <w:color w:val="auto"/>
                <w:sz w:val="24"/>
              </w:rPr>
              <w:t>符合国家标准食品接触材料，且有刻度，</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val="0"/>
                <w:bCs w:val="0"/>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numPr>
                <w:ilvl w:val="0"/>
                <w:numId w:val="0"/>
              </w:numPr>
              <w:spacing w:line="300" w:lineRule="exact"/>
              <w:ind w:left="240" w:hanging="240" w:hangingChars="100"/>
              <w:jc w:val="left"/>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lang w:val="en-US" w:eastAsia="zh-CN"/>
              </w:rPr>
              <w:t>5、（1）</w:t>
            </w:r>
            <w:r>
              <w:rPr>
                <w:rFonts w:hint="eastAsia" w:asciiTheme="minorEastAsia" w:hAnsiTheme="minorEastAsia" w:cstheme="minorEastAsia"/>
                <w:color w:val="auto"/>
                <w:sz w:val="24"/>
                <w:highlight w:val="none"/>
                <w:lang w:val="en-US" w:eastAsia="zh-CN"/>
              </w:rPr>
              <w:t>“及早戒烟、限量饮酒”冰箱贴，（2）“12320—全国统一的免费卫生热线</w:t>
            </w:r>
          </w:p>
          <w:p>
            <w:pPr>
              <w:widowControl/>
              <w:numPr>
                <w:ilvl w:val="0"/>
                <w:numId w:val="0"/>
              </w:numPr>
              <w:spacing w:line="300" w:lineRule="exact"/>
              <w:ind w:left="240" w:hanging="240" w:hangingChars="100"/>
              <w:jc w:val="left"/>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highlight w:val="none"/>
                <w:lang w:val="en-US" w:eastAsia="zh-CN"/>
              </w:rPr>
              <w:t>电话号码”冰箱贴、</w:t>
            </w:r>
            <w:r>
              <w:rPr>
                <w:rFonts w:hint="eastAsia" w:asciiTheme="minorEastAsia" w:hAnsiTheme="minorEastAsia" w:cstheme="minorEastAsia"/>
                <w:color w:val="auto"/>
                <w:sz w:val="24"/>
                <w:lang w:val="en-US" w:eastAsia="zh-CN"/>
              </w:rPr>
              <w:t>(材料：版面不干胶铜</w:t>
            </w:r>
          </w:p>
          <w:p>
            <w:pPr>
              <w:widowControl/>
              <w:numPr>
                <w:ilvl w:val="0"/>
                <w:numId w:val="0"/>
              </w:numPr>
              <w:spacing w:line="300" w:lineRule="exact"/>
              <w:ind w:left="240" w:hanging="240" w:hangingChars="100"/>
              <w:jc w:val="left"/>
              <w:rPr>
                <w:rFonts w:hint="eastAsia" w:asciiTheme="minorEastAsia" w:hAnsiTheme="minorEastAsia" w:cstheme="minorEastAsia"/>
                <w:color w:val="auto"/>
                <w:sz w:val="24"/>
                <w:lang w:val="en-US" w:eastAsia="zh-CN"/>
              </w:rPr>
            </w:pPr>
            <w:r>
              <w:rPr>
                <w:rFonts w:hint="eastAsia" w:asciiTheme="minorEastAsia" w:hAnsiTheme="minorEastAsia" w:cstheme="minorEastAsia"/>
                <w:color w:val="auto"/>
                <w:sz w:val="24"/>
                <w:lang w:val="en-US" w:eastAsia="zh-CN"/>
              </w:rPr>
              <w:t>版纸，四色印刷，背面粘贴磨砂贴。尺寸：</w:t>
            </w:r>
          </w:p>
          <w:p>
            <w:pPr>
              <w:widowControl/>
              <w:numPr>
                <w:ilvl w:val="0"/>
                <w:numId w:val="0"/>
              </w:numPr>
              <w:spacing w:line="300" w:lineRule="exact"/>
              <w:ind w:left="240" w:hanging="240" w:hangingChars="100"/>
              <w:jc w:val="lef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12cmx15.5cm )</w:t>
            </w:r>
            <w:r>
              <w:rPr>
                <w:rFonts w:hint="eastAsia" w:asciiTheme="minorEastAsia" w:hAnsiTheme="minorEastAsia" w:cstheme="minorEastAsia"/>
                <w:color w:val="auto"/>
                <w:sz w:val="24"/>
              </w:rPr>
              <w:t>印刷健康宣传标语，</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、风油精</w:t>
            </w:r>
            <w:r>
              <w:rPr>
                <w:rFonts w:hint="eastAsia" w:asciiTheme="minorEastAsia" w:hAnsiTheme="minorEastAsia" w:cstheme="minorEastAsia"/>
                <w:color w:val="auto"/>
                <w:sz w:val="24"/>
                <w:lang w:val="en-US" w:eastAsia="zh-CN"/>
              </w:rPr>
              <w:t>6</w:t>
            </w:r>
            <w:r>
              <w:rPr>
                <w:rFonts w:hint="eastAsia" w:asciiTheme="minorEastAsia" w:hAnsiTheme="minorEastAsia" w:cstheme="minorEastAsia"/>
                <w:color w:val="auto"/>
                <w:sz w:val="24"/>
              </w:rPr>
              <w:t>ml有包装盒，符合国家质量标准，</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widowControl/>
              <w:numPr>
                <w:ilvl w:val="255"/>
                <w:numId w:val="0"/>
              </w:numPr>
              <w:spacing w:line="300" w:lineRule="exact"/>
              <w:jc w:val="left"/>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val="en-US" w:eastAsia="zh-CN"/>
              </w:rPr>
              <w:t>7</w:t>
            </w:r>
            <w:r>
              <w:rPr>
                <w:rFonts w:hint="eastAsia" w:asciiTheme="minorEastAsia" w:hAnsiTheme="minorEastAsia" w:cstheme="minorEastAsia"/>
                <w:color w:val="auto"/>
                <w:sz w:val="24"/>
              </w:rPr>
              <w:t>、</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1</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医用外科口罩10个，符合《医用外科口罩》标准</w:t>
            </w:r>
            <w:r>
              <w:rPr>
                <w:rFonts w:hint="eastAsia" w:asciiTheme="minorEastAsia" w:hAnsiTheme="minorEastAsia" w:cstheme="minorEastAsia"/>
                <w:color w:val="auto"/>
                <w:sz w:val="24"/>
                <w:highlight w:val="none"/>
              </w:rPr>
              <w:t>要求</w:t>
            </w:r>
            <w:r>
              <w:rPr>
                <w:rFonts w:hint="eastAsia" w:asciiTheme="minorEastAsia" w:hAnsiTheme="minorEastAsia" w:cstheme="minorEastAsia"/>
                <w:color w:val="auto"/>
                <w:sz w:val="24"/>
                <w:lang w:eastAsia="zh-CN"/>
              </w:rPr>
              <w:t>，</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分</w:t>
            </w:r>
            <w:r>
              <w:rPr>
                <w:rFonts w:hint="eastAsia" w:asciiTheme="minorEastAsia" w:hAnsiTheme="minorEastAsia" w:cstheme="minorEastAsia"/>
                <w:color w:val="auto"/>
                <w:sz w:val="24"/>
                <w:lang w:eastAsia="zh-CN"/>
              </w:rPr>
              <w:t>。</w:t>
            </w:r>
          </w:p>
          <w:p>
            <w:pPr>
              <w:widowControl/>
              <w:numPr>
                <w:ilvl w:val="255"/>
                <w:numId w:val="0"/>
              </w:numPr>
              <w:spacing w:line="300" w:lineRule="exact"/>
              <w:ind w:firstLine="240" w:firstLineChars="100"/>
              <w:jc w:val="left"/>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碘伏100ml,有效碘含量4.5-5.5g/L，正规厂家生产，符合相关卫生标准,生产日期较新</w:t>
            </w:r>
            <w:r>
              <w:rPr>
                <w:rFonts w:hint="eastAsia" w:asciiTheme="minorEastAsia" w:hAnsiTheme="minorEastAsia" w:cstheme="minorEastAsia"/>
                <w:color w:val="auto"/>
                <w:sz w:val="24"/>
                <w:lang w:eastAsia="zh-CN"/>
              </w:rPr>
              <w:t>，</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分</w:t>
            </w:r>
            <w:r>
              <w:rPr>
                <w:rFonts w:hint="eastAsia" w:asciiTheme="minorEastAsia" w:hAnsiTheme="minorEastAsia" w:cstheme="minorEastAsia"/>
                <w:color w:val="auto"/>
                <w:sz w:val="24"/>
                <w:lang w:eastAsia="zh-CN"/>
              </w:rPr>
              <w:t>。</w:t>
            </w:r>
          </w:p>
          <w:p>
            <w:pPr>
              <w:widowControl/>
              <w:numPr>
                <w:ilvl w:val="255"/>
                <w:numId w:val="0"/>
              </w:numPr>
              <w:spacing w:line="300" w:lineRule="exact"/>
              <w:ind w:firstLine="240" w:firstLineChars="100"/>
              <w:jc w:val="left"/>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3</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创口贴5片，防水透气,生产日期较新</w:t>
            </w:r>
            <w:r>
              <w:rPr>
                <w:rFonts w:hint="eastAsia" w:asciiTheme="minorEastAsia" w:hAnsiTheme="minorEastAsia" w:cstheme="minorEastAsia"/>
                <w:color w:val="auto"/>
                <w:sz w:val="24"/>
                <w:lang w:eastAsia="zh-CN"/>
              </w:rPr>
              <w:t>，</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分</w:t>
            </w:r>
          </w:p>
          <w:p>
            <w:pPr>
              <w:widowControl/>
              <w:numPr>
                <w:ilvl w:val="255"/>
                <w:numId w:val="0"/>
              </w:numPr>
              <w:spacing w:line="300" w:lineRule="exact"/>
              <w:ind w:firstLine="240" w:firstLineChars="100"/>
              <w:jc w:val="left"/>
              <w:rPr>
                <w:rFonts w:hint="eastAsia" w:asciiTheme="minorEastAsia" w:hAnsiTheme="minorEastAsia" w:cstheme="minorEastAsia"/>
                <w:color w:val="auto"/>
                <w:sz w:val="24"/>
              </w:rPr>
            </w:pP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lang w:val="en-US" w:eastAsia="zh-CN"/>
              </w:rPr>
              <w:t>4</w:t>
            </w:r>
            <w:r>
              <w:rPr>
                <w:rFonts w:hint="eastAsia" w:asciiTheme="minorEastAsia" w:hAnsiTheme="minorEastAsia" w:cstheme="minorEastAsia"/>
                <w:color w:val="auto"/>
                <w:sz w:val="24"/>
                <w:lang w:eastAsia="zh-CN"/>
              </w:rPr>
              <w:t>）</w:t>
            </w:r>
            <w:r>
              <w:rPr>
                <w:rFonts w:hint="eastAsia" w:asciiTheme="minorEastAsia" w:hAnsiTheme="minorEastAsia" w:cstheme="minorEastAsia"/>
                <w:color w:val="auto"/>
                <w:sz w:val="24"/>
              </w:rPr>
              <w:t>免洗洗手液100ml,生产企业取得消毒产品卫生许可证,生产日期较新</w:t>
            </w:r>
            <w:r>
              <w:rPr>
                <w:rFonts w:hint="eastAsia" w:asciiTheme="minorEastAsia" w:hAnsiTheme="minorEastAsia" w:cstheme="minorEastAsia"/>
                <w:color w:val="auto"/>
                <w:sz w:val="24"/>
                <w:lang w:eastAsia="zh-CN"/>
              </w:rPr>
              <w:t>，</w:t>
            </w:r>
            <w:r>
              <w:rPr>
                <w:rFonts w:hint="eastAsia" w:asciiTheme="minorEastAsia" w:hAnsiTheme="minorEastAsia" w:cstheme="minorEastAsia"/>
                <w:b/>
                <w:bCs/>
                <w:color w:val="auto"/>
                <w:sz w:val="24"/>
                <w:highlight w:val="none"/>
                <w:lang w:val="en-US" w:eastAsia="zh-CN"/>
              </w:rPr>
              <w:t>提供</w:t>
            </w:r>
            <w:r>
              <w:rPr>
                <w:rFonts w:hint="eastAsia" w:asciiTheme="minorEastAsia" w:hAnsiTheme="minorEastAsia" w:cstheme="minorEastAsia"/>
                <w:b/>
                <w:bCs/>
                <w:color w:val="auto"/>
                <w:sz w:val="24"/>
                <w:highlight w:val="none"/>
              </w:rPr>
              <w:t>健康宣传标语</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b/>
                <w:bCs/>
                <w:color w:val="auto"/>
                <w:sz w:val="24"/>
                <w:highlight w:val="none"/>
                <w:lang w:val="en-US" w:eastAsia="zh-CN"/>
              </w:rPr>
              <w:t>标语放使用说明书上</w:t>
            </w:r>
            <w:r>
              <w:rPr>
                <w:rFonts w:hint="eastAsia" w:asciiTheme="minorEastAsia" w:hAnsiTheme="minorEastAsia" w:cstheme="minorEastAsia"/>
                <w:b/>
                <w:bCs/>
                <w:color w:val="auto"/>
                <w:sz w:val="24"/>
                <w:highlight w:val="none"/>
                <w:lang w:eastAsia="zh-CN"/>
              </w:rPr>
              <w:t>），</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lang w:val="en-US" w:eastAsia="zh-CN"/>
              </w:rPr>
              <w:t>5</w:t>
            </w:r>
            <w:r>
              <w:rPr>
                <w:rFonts w:hint="eastAsia" w:asciiTheme="minorEastAsia" w:hAnsiTheme="minorEastAsia" w:cstheme="minorEastAsia"/>
                <w:color w:val="auto"/>
                <w:sz w:val="24"/>
              </w:rPr>
              <w:t>分</w:t>
            </w:r>
          </w:p>
          <w:p>
            <w:pPr>
              <w:widowControl/>
              <w:numPr>
                <w:ilvl w:val="0"/>
                <w:numId w:val="0"/>
              </w:numPr>
              <w:spacing w:line="300" w:lineRule="exact"/>
              <w:jc w:val="left"/>
              <w:rPr>
                <w:rFonts w:asciiTheme="minorEastAsia" w:hAnsiTheme="minorEastAsia" w:cstheme="minorEastAsia"/>
                <w:color w:val="auto"/>
                <w:sz w:val="24"/>
              </w:rPr>
            </w:pPr>
            <w:r>
              <w:rPr>
                <w:rFonts w:hint="eastAsia" w:ascii="宋体" w:hAnsi="宋体" w:eastAsia="宋体" w:cs="宋体"/>
                <w:b w:val="0"/>
                <w:bCs w:val="0"/>
                <w:color w:val="auto"/>
                <w:sz w:val="24"/>
                <w:szCs w:val="24"/>
                <w:lang w:val="en-US" w:eastAsia="zh-CN"/>
              </w:rPr>
              <w:t>8、家庭健康</w:t>
            </w:r>
            <w:r>
              <w:rPr>
                <w:rFonts w:hint="eastAsia" w:asciiTheme="minorEastAsia" w:hAnsiTheme="minorEastAsia" w:cstheme="minorEastAsia"/>
                <w:color w:val="auto"/>
                <w:sz w:val="24"/>
              </w:rPr>
              <w:t>工具包内各物品具</w:t>
            </w:r>
            <w:r>
              <w:rPr>
                <w:rFonts w:hint="eastAsia" w:asciiTheme="minorEastAsia" w:hAnsiTheme="minorEastAsia" w:cstheme="minorEastAsia"/>
                <w:color w:val="auto"/>
                <w:sz w:val="24"/>
                <w:lang w:val="en-US" w:eastAsia="zh-CN"/>
              </w:rPr>
              <w:t>有</w:t>
            </w:r>
            <w:r>
              <w:rPr>
                <w:rFonts w:hint="eastAsia" w:asciiTheme="minorEastAsia" w:hAnsiTheme="minorEastAsia" w:cstheme="minorEastAsia"/>
                <w:color w:val="auto"/>
                <w:sz w:val="24"/>
              </w:rPr>
              <w:t>产品保修和合格证，</w:t>
            </w:r>
            <w:r>
              <w:rPr>
                <w:rFonts w:hint="eastAsia" w:asciiTheme="minorEastAsia" w:hAnsiTheme="minorEastAsia" w:cstheme="minorEastAsia"/>
                <w:color w:val="auto"/>
                <w:sz w:val="24"/>
                <w:lang w:val="en-US" w:eastAsia="zh-CN"/>
              </w:rPr>
              <w:t>得</w:t>
            </w:r>
            <w:r>
              <w:rPr>
                <w:rFonts w:hint="eastAsia" w:asciiTheme="minorEastAsia" w:hAnsiTheme="minorEastAsia" w:cstheme="minorEastAsia"/>
                <w:b/>
                <w:bCs/>
                <w:color w:val="auto"/>
                <w:sz w:val="24"/>
                <w:lang w:val="en-US" w:eastAsia="zh-CN"/>
              </w:rPr>
              <w:t>5</w:t>
            </w:r>
            <w:r>
              <w:rPr>
                <w:rFonts w:hint="eastAsia" w:asciiTheme="minorEastAsia" w:hAnsiTheme="minorEastAsia" w:cstheme="minorEastAsia"/>
                <w:color w:val="auto"/>
                <w:sz w:val="24"/>
              </w:rPr>
              <w:t>分。</w:t>
            </w:r>
          </w:p>
          <w:p>
            <w:pPr>
              <w:pStyle w:val="19"/>
              <w:widowControl/>
              <w:numPr>
                <w:ilvl w:val="255"/>
                <w:numId w:val="0"/>
              </w:numPr>
              <w:spacing w:line="300" w:lineRule="exact"/>
              <w:outlineLvl w:val="2"/>
              <w:rPr>
                <w:rFonts w:hint="eastAsia" w:asciiTheme="minorEastAsia" w:hAnsiTheme="minorEastAsia" w:cstheme="minorEastAsia"/>
                <w:color w:val="auto"/>
                <w:sz w:val="24"/>
              </w:rPr>
            </w:pPr>
            <w:r>
              <w:rPr>
                <w:rFonts w:hint="eastAsia" w:asciiTheme="minorEastAsia" w:hAnsiTheme="minorEastAsia" w:cstheme="minorEastAsia"/>
                <w:color w:val="auto"/>
                <w:sz w:val="24"/>
              </w:rPr>
              <w:t>9、使用说明书：家庭健康包里工具的使用说明，</w:t>
            </w:r>
            <w:r>
              <w:rPr>
                <w:rFonts w:hint="eastAsia" w:asciiTheme="minorEastAsia" w:hAnsiTheme="minorEastAsia" w:cstheme="minorEastAsia"/>
                <w:b/>
                <w:bCs/>
                <w:color w:val="auto"/>
                <w:sz w:val="24"/>
                <w:highlight w:val="none"/>
                <w:lang w:val="en-US" w:eastAsia="zh-CN"/>
              </w:rPr>
              <w:t>包括物品对应的健康宣传标语</w:t>
            </w:r>
            <w:r>
              <w:rPr>
                <w:rFonts w:hint="eastAsia" w:asciiTheme="minorEastAsia" w:hAnsiTheme="minorEastAsia" w:cstheme="minorEastAsia"/>
                <w:b w:val="0"/>
                <w:bCs w:val="0"/>
                <w:color w:val="auto"/>
                <w:sz w:val="24"/>
                <w:highlight w:val="none"/>
                <w:lang w:val="en-US" w:eastAsia="zh-CN"/>
              </w:rPr>
              <w:t>，</w:t>
            </w:r>
            <w:r>
              <w:rPr>
                <w:rFonts w:hint="eastAsia" w:asciiTheme="minorEastAsia" w:hAnsiTheme="minorEastAsia" w:cstheme="minorEastAsia"/>
                <w:color w:val="auto"/>
                <w:sz w:val="24"/>
              </w:rPr>
              <w:t>设计美观，彩印，</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rPr>
              <w:t>5分。</w:t>
            </w:r>
          </w:p>
          <w:p>
            <w:pPr>
              <w:pStyle w:val="19"/>
              <w:widowControl/>
              <w:numPr>
                <w:ilvl w:val="255"/>
                <w:numId w:val="0"/>
              </w:numPr>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1</w:t>
            </w:r>
            <w:r>
              <w:rPr>
                <w:rFonts w:hint="eastAsia" w:asciiTheme="minorEastAsia" w:hAnsiTheme="minorEastAsia" w:cstheme="minorEastAsia"/>
                <w:color w:val="auto"/>
                <w:sz w:val="24"/>
                <w:lang w:val="en-US" w:eastAsia="zh-CN"/>
              </w:rPr>
              <w:t>0</w:t>
            </w:r>
            <w:r>
              <w:rPr>
                <w:rFonts w:hint="eastAsia" w:asciiTheme="minorEastAsia" w:hAnsiTheme="minorEastAsia" w:cstheme="minorEastAsia"/>
                <w:color w:val="auto"/>
                <w:sz w:val="24"/>
              </w:rPr>
              <w:t>、装工具的包需易携带、具防水功能，质量较好，不易破损，并能印刷单位落款、宣传标语等，</w:t>
            </w:r>
            <w:r>
              <w:rPr>
                <w:rFonts w:hint="eastAsia" w:asciiTheme="minorEastAsia" w:hAnsiTheme="minorEastAsia" w:cstheme="minorEastAsia"/>
                <w:color w:val="auto"/>
                <w:sz w:val="24"/>
                <w:lang w:eastAsia="zh-CN"/>
              </w:rPr>
              <w:t>得</w:t>
            </w:r>
            <w:r>
              <w:rPr>
                <w:rFonts w:hint="eastAsia" w:asciiTheme="minorEastAsia" w:hAnsiTheme="minorEastAsia" w:cstheme="minorEastAsia"/>
                <w:color w:val="auto"/>
                <w:sz w:val="24"/>
                <w:lang w:val="en-US" w:eastAsia="zh-CN"/>
              </w:rPr>
              <w:t>10</w:t>
            </w:r>
            <w:r>
              <w:rPr>
                <w:rFonts w:hint="eastAsia" w:asciiTheme="minorEastAsia" w:hAnsiTheme="minorEastAsia" w:cstheme="minorEastAsia"/>
                <w:color w:val="auto"/>
                <w:sz w:val="24"/>
              </w:rPr>
              <w:t>分。</w:t>
            </w:r>
          </w:p>
        </w:tc>
        <w:tc>
          <w:tcPr>
            <w:tcW w:w="2641" w:type="dxa"/>
            <w:vAlign w:val="center"/>
          </w:tcPr>
          <w:p>
            <w:pPr>
              <w:spacing w:line="360" w:lineRule="exact"/>
              <w:rPr>
                <w:rFonts w:asciiTheme="minorEastAsia" w:hAnsiTheme="minorEastAsia" w:cstheme="minorEastAsia"/>
                <w:color w:val="auto"/>
                <w:sz w:val="24"/>
              </w:rPr>
            </w:pPr>
            <w:r>
              <w:rPr>
                <w:rFonts w:hint="eastAsia" w:asciiTheme="minorEastAsia" w:hAnsiTheme="minorEastAsia" w:cstheme="minorEastAsia"/>
                <w:color w:val="auto"/>
                <w:sz w:val="24"/>
                <w:lang w:val="en-US" w:eastAsia="zh-CN"/>
              </w:rPr>
              <w:t>标语内容由采购方提供（合同后确定内容，标书物品可先表现出有标语即可）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705" w:type="dxa"/>
            <w:vMerge w:val="restart"/>
            <w:vAlign w:val="center"/>
          </w:tcPr>
          <w:p>
            <w:pPr>
              <w:spacing w:line="32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3</w:t>
            </w:r>
          </w:p>
        </w:tc>
        <w:tc>
          <w:tcPr>
            <w:tcW w:w="1269" w:type="dxa"/>
            <w:vMerge w:val="restart"/>
            <w:vAlign w:val="center"/>
          </w:tcPr>
          <w:p>
            <w:pPr>
              <w:spacing w:line="320" w:lineRule="exact"/>
              <w:jc w:val="center"/>
              <w:rPr>
                <w:rFonts w:asciiTheme="minorEastAsia" w:hAnsiTheme="minorEastAsia" w:cstheme="minorEastAsia"/>
                <w:color w:val="auto"/>
                <w:sz w:val="24"/>
              </w:rPr>
            </w:pPr>
            <w:r>
              <w:rPr>
                <w:rFonts w:hint="eastAsia" w:asciiTheme="minorEastAsia" w:hAnsiTheme="minorEastAsia" w:cstheme="minorEastAsia"/>
                <w:color w:val="auto"/>
                <w:sz w:val="24"/>
              </w:rPr>
              <w:t>商务部分</w:t>
            </w:r>
          </w:p>
        </w:tc>
        <w:tc>
          <w:tcPr>
            <w:tcW w:w="955" w:type="dxa"/>
            <w:vAlign w:val="center"/>
          </w:tcPr>
          <w:p>
            <w:pPr>
              <w:widowControl/>
              <w:spacing w:line="300" w:lineRule="exact"/>
              <w:jc w:val="center"/>
              <w:outlineLvl w:val="2"/>
              <w:rPr>
                <w:rFonts w:asciiTheme="minorEastAsia" w:hAnsiTheme="minorEastAsia" w:cstheme="minorEastAsia"/>
                <w:color w:val="auto"/>
                <w:sz w:val="24"/>
              </w:rPr>
            </w:pPr>
            <w:r>
              <w:rPr>
                <w:rFonts w:hint="eastAsia" w:asciiTheme="minorEastAsia" w:hAnsiTheme="minorEastAsia" w:cstheme="minorEastAsia"/>
                <w:color w:val="auto"/>
                <w:sz w:val="24"/>
              </w:rPr>
              <w:t>15</w:t>
            </w:r>
          </w:p>
        </w:tc>
        <w:tc>
          <w:tcPr>
            <w:tcW w:w="4760" w:type="dxa"/>
            <w:vAlign w:val="center"/>
          </w:tcPr>
          <w:p>
            <w:pPr>
              <w:pStyle w:val="19"/>
              <w:widowControl/>
              <w:numPr>
                <w:ilvl w:val="255"/>
                <w:numId w:val="0"/>
              </w:numPr>
              <w:spacing w:line="300" w:lineRule="exact"/>
              <w:outlineLvl w:val="2"/>
              <w:rPr>
                <w:rFonts w:asciiTheme="minorEastAsia" w:hAnsiTheme="minorEastAsia" w:cstheme="minorEastAsia"/>
                <w:color w:val="auto"/>
                <w:sz w:val="24"/>
              </w:rPr>
            </w:pPr>
            <w:r>
              <w:rPr>
                <w:rFonts w:hint="eastAsia" w:asciiTheme="minorEastAsia" w:hAnsiTheme="minorEastAsia" w:cstheme="minorEastAsia"/>
                <w:color w:val="auto"/>
                <w:sz w:val="24"/>
              </w:rPr>
              <w:t>供应商自20</w:t>
            </w:r>
            <w:r>
              <w:rPr>
                <w:rFonts w:hint="eastAsia" w:asciiTheme="minorEastAsia" w:hAnsiTheme="minorEastAsia" w:cstheme="minorEastAsia"/>
                <w:color w:val="auto"/>
                <w:sz w:val="24"/>
                <w:lang w:val="en-US" w:eastAsia="zh-CN"/>
              </w:rPr>
              <w:t>20</w:t>
            </w:r>
            <w:r>
              <w:rPr>
                <w:rFonts w:hint="eastAsia" w:asciiTheme="minorEastAsia" w:hAnsiTheme="minorEastAsia" w:cstheme="minorEastAsia"/>
                <w:color w:val="auto"/>
                <w:sz w:val="24"/>
              </w:rPr>
              <w:t>年1月1日起累计完成的有关健康工具包的项目业绩，每提供1份合同或其他有效证明文件得3分，最多得15分，不满足或未提供不得分。</w:t>
            </w:r>
          </w:p>
        </w:tc>
        <w:tc>
          <w:tcPr>
            <w:tcW w:w="2641" w:type="dxa"/>
            <w:vAlign w:val="center"/>
          </w:tcPr>
          <w:p>
            <w:pPr>
              <w:spacing w:line="320" w:lineRule="exact"/>
              <w:rPr>
                <w:rFonts w:asciiTheme="minorEastAsia" w:hAnsiTheme="minorEastAsia" w:cstheme="minorEastAsia"/>
                <w:color w:val="auto"/>
                <w:sz w:val="24"/>
              </w:rPr>
            </w:pPr>
            <w:r>
              <w:rPr>
                <w:rFonts w:hint="eastAsia" w:asciiTheme="minorEastAsia" w:hAnsiTheme="minorEastAsia" w:cstheme="minorEastAsia"/>
                <w:color w:val="auto"/>
                <w:sz w:val="24"/>
              </w:rPr>
              <w:t>提供合同或其他有效证明文件复印件加盖投标人公章。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05" w:type="dxa"/>
            <w:vMerge w:val="continue"/>
            <w:vAlign w:val="center"/>
          </w:tcPr>
          <w:p>
            <w:pPr>
              <w:spacing w:line="320" w:lineRule="exact"/>
              <w:jc w:val="center"/>
              <w:rPr>
                <w:rFonts w:asciiTheme="minorEastAsia" w:hAnsiTheme="minorEastAsia" w:cstheme="minorEastAsia"/>
                <w:color w:val="auto"/>
                <w:sz w:val="24"/>
              </w:rPr>
            </w:pPr>
          </w:p>
        </w:tc>
        <w:tc>
          <w:tcPr>
            <w:tcW w:w="1269" w:type="dxa"/>
            <w:vMerge w:val="continue"/>
            <w:vAlign w:val="center"/>
          </w:tcPr>
          <w:p>
            <w:pPr>
              <w:spacing w:line="320" w:lineRule="exact"/>
              <w:jc w:val="center"/>
              <w:rPr>
                <w:rFonts w:asciiTheme="minorEastAsia" w:hAnsiTheme="minorEastAsia" w:cstheme="minorEastAsia"/>
                <w:color w:val="auto"/>
                <w:sz w:val="24"/>
              </w:rPr>
            </w:pPr>
          </w:p>
        </w:tc>
        <w:tc>
          <w:tcPr>
            <w:tcW w:w="955" w:type="dxa"/>
            <w:vAlign w:val="center"/>
          </w:tcPr>
          <w:p>
            <w:pPr>
              <w:widowControl/>
              <w:spacing w:line="300" w:lineRule="exact"/>
              <w:jc w:val="center"/>
              <w:outlineLvl w:val="2"/>
              <w:rPr>
                <w:rFonts w:asciiTheme="minorEastAsia" w:hAnsiTheme="minorEastAsia" w:cstheme="minorEastAsia"/>
                <w:color w:val="auto"/>
                <w:sz w:val="24"/>
              </w:rPr>
            </w:pPr>
            <w:r>
              <w:rPr>
                <w:rFonts w:hint="eastAsia" w:asciiTheme="minorEastAsia" w:hAnsiTheme="minorEastAsia" w:cstheme="minorEastAsia"/>
                <w:color w:val="auto"/>
                <w:sz w:val="24"/>
              </w:rPr>
              <w:t>5</w:t>
            </w:r>
          </w:p>
        </w:tc>
        <w:tc>
          <w:tcPr>
            <w:tcW w:w="4760" w:type="dxa"/>
            <w:vAlign w:val="center"/>
          </w:tcPr>
          <w:p>
            <w:pPr>
              <w:snapToGrid w:val="0"/>
              <w:spacing w:line="300" w:lineRule="exact"/>
              <w:jc w:val="left"/>
              <w:rPr>
                <w:rFonts w:asciiTheme="minorEastAsia" w:hAnsiTheme="minorEastAsia" w:cstheme="minorEastAsia"/>
                <w:color w:val="auto"/>
                <w:sz w:val="24"/>
              </w:rPr>
            </w:pPr>
            <w:r>
              <w:rPr>
                <w:rFonts w:hint="eastAsia" w:asciiTheme="minorEastAsia" w:hAnsiTheme="minorEastAsia" w:cstheme="minorEastAsia"/>
                <w:color w:val="auto"/>
                <w:sz w:val="24"/>
              </w:rPr>
              <w:t>供应商提供相关</w:t>
            </w:r>
            <w:r>
              <w:rPr>
                <w:rFonts w:hint="eastAsia" w:asciiTheme="minorEastAsia" w:hAnsiTheme="minorEastAsia" w:cstheme="minorEastAsia"/>
                <w:b/>
                <w:bCs/>
                <w:color w:val="auto"/>
                <w:sz w:val="24"/>
              </w:rPr>
              <w:t>荣誉证书</w:t>
            </w:r>
            <w:r>
              <w:rPr>
                <w:rFonts w:hint="eastAsia" w:asciiTheme="minorEastAsia" w:hAnsiTheme="minorEastAsia" w:cstheme="minorEastAsia"/>
                <w:color w:val="auto"/>
                <w:sz w:val="24"/>
              </w:rPr>
              <w:t>及其他</w:t>
            </w:r>
            <w:r>
              <w:rPr>
                <w:rFonts w:hint="eastAsia" w:asciiTheme="minorEastAsia" w:hAnsiTheme="minorEastAsia" w:cstheme="minorEastAsia"/>
                <w:b/>
                <w:bCs/>
                <w:color w:val="auto"/>
                <w:sz w:val="24"/>
              </w:rPr>
              <w:t>认证资质</w:t>
            </w:r>
          </w:p>
          <w:p>
            <w:pPr>
              <w:snapToGrid w:val="0"/>
              <w:spacing w:line="300" w:lineRule="exact"/>
              <w:jc w:val="left"/>
              <w:rPr>
                <w:rFonts w:asciiTheme="minorEastAsia" w:hAnsiTheme="minorEastAsia" w:cstheme="minorEastAsia"/>
                <w:color w:val="auto"/>
                <w:kern w:val="0"/>
                <w:sz w:val="24"/>
              </w:rPr>
            </w:pPr>
            <w:r>
              <w:rPr>
                <w:rFonts w:hint="eastAsia" w:asciiTheme="minorEastAsia" w:hAnsiTheme="minorEastAsia" w:cstheme="minorEastAsia"/>
                <w:color w:val="auto"/>
                <w:sz w:val="24"/>
              </w:rPr>
              <w:t>，每提供一个得1分，最多得5分。</w:t>
            </w:r>
          </w:p>
        </w:tc>
        <w:tc>
          <w:tcPr>
            <w:tcW w:w="2641" w:type="dxa"/>
            <w:vAlign w:val="center"/>
          </w:tcPr>
          <w:p>
            <w:pPr>
              <w:spacing w:line="300" w:lineRule="exact"/>
              <w:rPr>
                <w:rFonts w:asciiTheme="minorEastAsia" w:hAnsiTheme="minorEastAsia" w:cstheme="minorEastAsia"/>
                <w:color w:val="auto"/>
                <w:sz w:val="24"/>
              </w:rPr>
            </w:pPr>
            <w:r>
              <w:rPr>
                <w:rFonts w:hint="eastAsia" w:asciiTheme="minorEastAsia" w:hAnsiTheme="minorEastAsia" w:cstheme="minorEastAsia"/>
                <w:color w:val="auto"/>
                <w:sz w:val="24"/>
              </w:rPr>
              <w:t>出示有效期内证书复印件加盖投标人公章。</w:t>
            </w:r>
          </w:p>
        </w:tc>
      </w:tr>
    </w:tbl>
    <w:p>
      <w:pPr>
        <w:widowControl/>
        <w:spacing w:line="360" w:lineRule="auto"/>
        <w:ind w:firstLine="562" w:firstLineChars="200"/>
        <w:jc w:val="left"/>
        <w:rPr>
          <w:rFonts w:ascii="仿宋_GB2312" w:hAnsi="仿宋_GB2312" w:eastAsia="仿宋_GB2312" w:cs="仿宋_GB2312"/>
          <w:color w:val="auto"/>
          <w:sz w:val="28"/>
          <w:szCs w:val="28"/>
        </w:rPr>
      </w:pPr>
      <w:bookmarkStart w:id="32" w:name="_Toc101771377"/>
      <w:bookmarkStart w:id="33" w:name="_Toc101951268"/>
      <w:bookmarkStart w:id="34" w:name="_Toc101775130"/>
      <w:bookmarkStart w:id="35" w:name="_Toc101843130"/>
      <w:bookmarkStart w:id="36" w:name="_Toc454803239"/>
      <w:r>
        <w:rPr>
          <w:rFonts w:hint="eastAsia" w:ascii="仿宋_GB2312" w:hAnsi="仿宋_GB2312" w:eastAsia="仿宋_GB2312" w:cs="仿宋_GB2312"/>
          <w:b/>
          <w:bCs/>
          <w:color w:val="auto"/>
          <w:sz w:val="28"/>
          <w:szCs w:val="28"/>
        </w:rPr>
        <w:t>四、项目终止</w:t>
      </w:r>
      <w:bookmarkEnd w:id="32"/>
      <w:bookmarkEnd w:id="33"/>
      <w:bookmarkEnd w:id="34"/>
      <w:bookmarkEnd w:id="35"/>
      <w:r>
        <w:rPr>
          <w:rFonts w:hint="eastAsia" w:ascii="仿宋_GB2312" w:hAnsi="仿宋_GB2312" w:eastAsia="仿宋_GB2312" w:cs="仿宋_GB2312"/>
          <w:b/>
          <w:bCs/>
          <w:color w:val="auto"/>
          <w:sz w:val="28"/>
          <w:szCs w:val="28"/>
        </w:rPr>
        <w:t>评审情况</w:t>
      </w:r>
      <w:bookmarkEnd w:id="36"/>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下列情况出现将终止采购活动：</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1.因情况变化，不再符合规定的采购方式适用情形的； </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2.出现影响采购公正的违法、违规行为的； </w:t>
      </w:r>
    </w:p>
    <w:bookmarkEnd w:id="23"/>
    <w:bookmarkEnd w:id="24"/>
    <w:bookmarkEnd w:id="25"/>
    <w:p>
      <w:pPr>
        <w:widowControl/>
        <w:spacing w:line="360" w:lineRule="auto"/>
        <w:ind w:firstLine="562" w:firstLineChars="200"/>
        <w:jc w:val="left"/>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五、确定候选供应商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1.计分结束后，评审小组将综合总得分由高到低的排名顺序推荐前三名供应商为成交候选供应商。由采购工作人员负责整理《评审报告》,全体评委审核《评审报告》并签字确认。</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2.采购人根据评审小组的推荐意见和有关法规确定成交供应商。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3.凡发现成交供应商有下列行为之一的，将移交相关部门依法处理：</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⑴提供虚假材料谋取中标的；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⑵采取不正当手段诋毁、排挤其他供应商的；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⑶与采购人、其他供应商或者工作人员恶意串通的；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⑷向采购人、工作人员行贿或者提供其他不正当利益的；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⑸在招标采购过程中与采购人进行协商谈判的；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⑹拒绝有关部门监督检查或者提供虚假情况的；</w:t>
      </w:r>
    </w:p>
    <w:p>
      <w:pPr>
        <w:widowControl/>
        <w:spacing w:line="360" w:lineRule="auto"/>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⑺有法律、法规规定的其他损害采购人利益和社会公共利益情形的。</w:t>
      </w:r>
    </w:p>
    <w:p>
      <w:pPr>
        <w:widowControl/>
        <w:spacing w:line="360" w:lineRule="auto"/>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4.成交候选供应商放弃或被取消资格的，经采购人批准后，可按顺序选择候补成交供应商。</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5.采购结果确认后，采购方将中标结果在广东12320网（www.guangdong12320.</w:t>
      </w:r>
      <w:r>
        <w:rPr>
          <w:rFonts w:ascii="仿宋_GB2312" w:hAnsi="仿宋_GB2312" w:eastAsia="仿宋_GB2312" w:cs="仿宋_GB2312"/>
          <w:color w:val="auto"/>
          <w:sz w:val="28"/>
          <w:szCs w:val="28"/>
        </w:rPr>
        <w:t>com</w:t>
      </w:r>
      <w:r>
        <w:rPr>
          <w:rFonts w:hint="eastAsia" w:ascii="仿宋_GB2312" w:hAnsi="仿宋_GB2312" w:eastAsia="仿宋_GB2312" w:cs="仿宋_GB2312"/>
          <w:color w:val="auto"/>
          <w:sz w:val="28"/>
          <w:szCs w:val="28"/>
        </w:rPr>
        <w:t>）及微信公众号“健康广东人”进行公告。不在中标名单之列者即为落标人，采购方不再以其它方式另行通知。成交供应商放弃中标的，应当依法承担法律责任。</w:t>
      </w:r>
    </w:p>
    <w:bookmarkEnd w:id="1"/>
    <w:bookmarkEnd w:id="2"/>
    <w:bookmarkEnd w:id="3"/>
    <w:bookmarkEnd w:id="4"/>
    <w:bookmarkEnd w:id="5"/>
    <w:bookmarkEnd w:id="6"/>
    <w:bookmarkEnd w:id="7"/>
    <w:bookmarkEnd w:id="8"/>
    <w:bookmarkEnd w:id="9"/>
    <w:bookmarkEnd w:id="10"/>
    <w:bookmarkEnd w:id="11"/>
    <w:bookmarkEnd w:id="12"/>
    <w:bookmarkEnd w:id="13"/>
    <w:bookmarkEnd w:id="14"/>
    <w:p>
      <w:pPr>
        <w:pStyle w:val="13"/>
        <w:widowControl/>
        <w:shd w:val="clear" w:color="auto" w:fill="FFFFFF"/>
        <w:spacing w:beforeAutospacing="0" w:afterAutospacing="0" w:line="360" w:lineRule="auto"/>
        <w:ind w:firstLine="5040" w:firstLineChars="1800"/>
        <w:jc w:val="both"/>
        <w:rPr>
          <w:rFonts w:asciiTheme="minorEastAsia" w:hAnsiTheme="minorEastAsia" w:cstheme="minorEastAsia"/>
          <w:color w:val="auto"/>
          <w:sz w:val="28"/>
          <w:szCs w:val="28"/>
          <w:shd w:val="clear" w:color="auto" w:fill="FFFFFF"/>
        </w:rPr>
      </w:pPr>
      <w:r>
        <w:rPr>
          <w:rFonts w:hint="eastAsia" w:asciiTheme="minorEastAsia" w:hAnsiTheme="minorEastAsia" w:cstheme="minorEastAsia"/>
          <w:color w:val="auto"/>
          <w:sz w:val="28"/>
          <w:szCs w:val="28"/>
          <w:shd w:val="clear" w:color="auto" w:fill="FFFFFF"/>
        </w:rPr>
        <w:br w:type="page"/>
      </w:r>
    </w:p>
    <w:p>
      <w:pPr>
        <w:pageBreakBefore/>
        <w:widowControl/>
        <w:spacing w:line="360" w:lineRule="auto"/>
        <w:jc w:val="center"/>
        <w:rPr>
          <w:rFonts w:ascii="方正大标宋简体" w:hAnsi="方正大标宋简体" w:eastAsia="方正大标宋简体" w:cs="方正大标宋简体"/>
          <w:b/>
          <w:bCs/>
          <w:color w:val="auto"/>
          <w:sz w:val="28"/>
          <w:szCs w:val="28"/>
        </w:rPr>
      </w:pPr>
      <w:bookmarkStart w:id="37" w:name="_Toc41884708"/>
      <w:bookmarkStart w:id="38" w:name="_Toc101951271"/>
      <w:bookmarkStart w:id="39" w:name="_Toc40762376"/>
      <w:bookmarkStart w:id="40" w:name="_Toc38947808"/>
      <w:bookmarkStart w:id="41" w:name="_Toc101775133"/>
      <w:bookmarkStart w:id="42" w:name="_Toc41723938"/>
      <w:bookmarkStart w:id="43" w:name="_Toc101843133"/>
      <w:bookmarkStart w:id="44" w:name="_Toc42313174"/>
      <w:bookmarkStart w:id="45" w:name="_Toc101771380"/>
      <w:bookmarkStart w:id="46" w:name="_Toc454803242"/>
      <w:r>
        <w:rPr>
          <w:rFonts w:hint="eastAsia" w:ascii="方正大标宋简体" w:hAnsi="方正大标宋简体" w:eastAsia="方正大标宋简体" w:cs="方正大标宋简体"/>
          <w:b/>
          <w:bCs/>
          <w:color w:val="auto"/>
          <w:sz w:val="28"/>
          <w:szCs w:val="28"/>
        </w:rPr>
        <w:t>第三部分 响应文件格式</w:t>
      </w:r>
      <w:bookmarkEnd w:id="37"/>
      <w:bookmarkEnd w:id="38"/>
      <w:bookmarkEnd w:id="39"/>
      <w:bookmarkEnd w:id="40"/>
      <w:bookmarkEnd w:id="41"/>
      <w:bookmarkEnd w:id="42"/>
      <w:bookmarkEnd w:id="43"/>
      <w:bookmarkEnd w:id="44"/>
      <w:bookmarkEnd w:id="45"/>
      <w:bookmarkEnd w:id="46"/>
    </w:p>
    <w:p>
      <w:pPr>
        <w:pStyle w:val="6"/>
        <w:spacing w:line="360" w:lineRule="auto"/>
        <w:ind w:firstLine="560" w:firstLineChars="200"/>
        <w:rPr>
          <w:rFonts w:ascii="仿宋_GB2312" w:hAnsi="仿宋_GB2312" w:eastAsia="仿宋_GB2312" w:cs="仿宋_GB2312"/>
          <w:color w:val="auto"/>
          <w:sz w:val="28"/>
          <w:szCs w:val="28"/>
        </w:rPr>
      </w:pPr>
      <w:bookmarkStart w:id="47" w:name="_Toc42313175"/>
      <w:bookmarkStart w:id="48" w:name="_Toc101771381"/>
      <w:bookmarkStart w:id="49" w:name="_Toc101843134"/>
      <w:bookmarkStart w:id="50" w:name="_Toc101775134"/>
      <w:bookmarkStart w:id="51" w:name="_Toc42394520"/>
      <w:bookmarkStart w:id="52" w:name="_Toc98580295"/>
      <w:bookmarkStart w:id="53" w:name="_Toc40762378"/>
      <w:bookmarkStart w:id="54" w:name="_Toc38947810"/>
      <w:bookmarkStart w:id="55" w:name="_Toc41723940"/>
      <w:bookmarkStart w:id="56" w:name="_Toc50276167"/>
      <w:bookmarkStart w:id="57" w:name="_Toc40762377"/>
      <w:bookmarkStart w:id="58" w:name="_Toc41723939"/>
      <w:bookmarkStart w:id="59" w:name="_Toc175106977"/>
      <w:bookmarkStart w:id="60" w:name="_Toc42313176"/>
      <w:bookmarkStart w:id="61" w:name="_Toc50276168"/>
      <w:bookmarkStart w:id="62" w:name="_Toc41884710"/>
      <w:bookmarkStart w:id="63" w:name="_Toc42394676"/>
      <w:bookmarkStart w:id="64" w:name="_Toc98579071"/>
      <w:bookmarkStart w:id="65" w:name="_Toc98579013"/>
      <w:bookmarkStart w:id="66" w:name="_Toc42394675"/>
      <w:bookmarkStart w:id="67" w:name="_Toc98579612"/>
      <w:bookmarkStart w:id="68" w:name="_Toc38947809"/>
      <w:bookmarkStart w:id="69" w:name="_Toc42394519"/>
      <w:bookmarkStart w:id="70" w:name="_Toc41884709"/>
      <w:bookmarkStart w:id="71" w:name="_Toc175644396"/>
      <w:bookmarkStart w:id="72" w:name="_Toc101951272"/>
      <w:r>
        <w:rPr>
          <w:rFonts w:hint="eastAsia" w:ascii="仿宋_GB2312" w:hAnsi="仿宋_GB2312" w:eastAsia="仿宋_GB2312" w:cs="仿宋_GB2312"/>
          <w:color w:val="auto"/>
          <w:sz w:val="28"/>
          <w:szCs w:val="28"/>
        </w:rPr>
        <w:t>响应文件分服务部分，</w:t>
      </w:r>
      <w:r>
        <w:rPr>
          <w:rFonts w:hint="eastAsia" w:ascii="仿宋_GB2312" w:hAnsi="仿宋_GB2312" w:eastAsia="仿宋_GB2312" w:cs="仿宋_GB2312"/>
          <w:color w:val="auto"/>
          <w:sz w:val="28"/>
          <w:szCs w:val="28"/>
          <w:lang w:val="zh-CN"/>
        </w:rPr>
        <w:t>包括但不限于以下组成内容，请按顺序制作并编写页码，本章有提供格式文件的请按格式要求提交。</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6"/>
        <w:numPr>
          <w:ilvl w:val="0"/>
          <w:numId w:val="2"/>
        </w:numPr>
        <w:spacing w:line="360" w:lineRule="auto"/>
        <w:ind w:left="567" w:hanging="567"/>
        <w:outlineLvl w:val="1"/>
        <w:rPr>
          <w:rFonts w:ascii="仿宋_GB2312" w:hAnsi="仿宋_GB2312" w:eastAsia="仿宋_GB2312" w:cs="仿宋_GB2312"/>
          <w:b/>
          <w:color w:val="auto"/>
          <w:sz w:val="28"/>
          <w:szCs w:val="28"/>
        </w:rPr>
      </w:pPr>
      <w:bookmarkStart w:id="73" w:name="_Toc452373445"/>
      <w:bookmarkStart w:id="74" w:name="_Toc454803243"/>
      <w:r>
        <w:rPr>
          <w:rFonts w:hint="eastAsia" w:ascii="仿宋_GB2312" w:hAnsi="仿宋_GB2312" w:eastAsia="仿宋_GB2312" w:cs="仿宋_GB2312"/>
          <w:b/>
          <w:color w:val="auto"/>
          <w:sz w:val="28"/>
          <w:szCs w:val="28"/>
        </w:rPr>
        <w:t>商务部分</w:t>
      </w:r>
      <w:bookmarkEnd w:id="73"/>
      <w:bookmarkEnd w:id="74"/>
    </w:p>
    <w:tbl>
      <w:tblPr>
        <w:tblStyle w:val="14"/>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12"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68"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★授权委托证明书（见格式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★开标一览表（见格式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★分项报价表（见格式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对合同条款的应答（见格式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报价人概况表（见格式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12" w:type="dxa"/>
            <w:vAlign w:val="center"/>
          </w:tcPr>
          <w:p>
            <w:pPr>
              <w:pStyle w:val="6"/>
              <w:numPr>
                <w:ilvl w:val="0"/>
                <w:numId w:val="3"/>
              </w:numPr>
              <w:spacing w:line="360" w:lineRule="auto"/>
              <w:jc w:val="center"/>
              <w:rPr>
                <w:rFonts w:ascii="仿宋_GB2312" w:hAnsi="仿宋_GB2312" w:eastAsia="仿宋_GB2312" w:cs="仿宋_GB2312"/>
                <w:color w:val="auto"/>
                <w:sz w:val="28"/>
                <w:szCs w:val="28"/>
              </w:rPr>
            </w:pPr>
          </w:p>
        </w:tc>
        <w:tc>
          <w:tcPr>
            <w:tcW w:w="7968" w:type="dxa"/>
          </w:tcPr>
          <w:p>
            <w:pPr>
              <w:pStyle w:val="6"/>
              <w:spacing w:line="360" w:lineRule="auto"/>
              <w:ind w:firstLine="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组织机构代码证、税务登记证（复印件加盖公章）</w:t>
            </w:r>
          </w:p>
        </w:tc>
      </w:tr>
    </w:tbl>
    <w:p>
      <w:pPr>
        <w:spacing w:line="360" w:lineRule="auto"/>
        <w:rPr>
          <w:rFonts w:ascii="仿宋_GB2312" w:hAnsi="仿宋_GB2312" w:eastAsia="仿宋_GB2312" w:cs="仿宋_GB2312"/>
          <w:bCs/>
          <w:color w:val="auto"/>
          <w:sz w:val="28"/>
          <w:szCs w:val="28"/>
        </w:rPr>
      </w:pPr>
    </w:p>
    <w:p>
      <w:pPr>
        <w:pStyle w:val="6"/>
        <w:numPr>
          <w:ilvl w:val="0"/>
          <w:numId w:val="2"/>
        </w:numPr>
        <w:spacing w:line="360" w:lineRule="auto"/>
        <w:ind w:left="567" w:hanging="567"/>
        <w:outlineLvl w:val="1"/>
        <w:rPr>
          <w:rFonts w:ascii="仿宋_GB2312" w:hAnsi="仿宋_GB2312" w:eastAsia="仿宋_GB2312" w:cs="仿宋_GB2312"/>
          <w:color w:val="auto"/>
          <w:sz w:val="28"/>
          <w:szCs w:val="28"/>
        </w:rPr>
      </w:pPr>
      <w:bookmarkStart w:id="75" w:name="_Toc452373446"/>
      <w:bookmarkStart w:id="76" w:name="_Toc454803244"/>
      <w:r>
        <w:rPr>
          <w:rFonts w:hint="eastAsia" w:ascii="仿宋_GB2312" w:hAnsi="仿宋_GB2312" w:eastAsia="仿宋_GB2312" w:cs="仿宋_GB2312"/>
          <w:b/>
          <w:color w:val="auto"/>
          <w:sz w:val="28"/>
          <w:szCs w:val="28"/>
        </w:rPr>
        <w:t>服务部分</w:t>
      </w:r>
      <w:bookmarkEnd w:id="75"/>
      <w:bookmarkEnd w:id="76"/>
    </w:p>
    <w:tbl>
      <w:tblPr>
        <w:tblStyle w:val="1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7955" w:type="dxa"/>
            <w:vAlign w:val="center"/>
          </w:tcPr>
          <w:p>
            <w:pPr>
              <w:pStyle w:val="6"/>
              <w:spacing w:line="360" w:lineRule="auto"/>
              <w:ind w:firstLine="0"/>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服务承诺（见格式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声明函（见格式</w:t>
            </w:r>
            <w:r>
              <w:rPr>
                <w:rFonts w:hint="eastAsia" w:ascii="仿宋_GB2312" w:hAnsi="仿宋_GB2312" w:eastAsia="仿宋_GB2312" w:cs="仿宋_GB2312"/>
                <w:color w:val="auto"/>
                <w:sz w:val="28"/>
                <w:szCs w:val="28"/>
                <w:lang w:val="zh-CN"/>
              </w:rPr>
              <w:t>文件</w:t>
            </w:r>
            <w:r>
              <w:rPr>
                <w:rFonts w:hint="eastAsia" w:ascii="仿宋_GB2312" w:hAnsi="仿宋_GB2312" w:eastAsia="仿宋_GB2312" w:cs="仿宋_GB2312"/>
                <w:color w:val="auto"/>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1" w:type="dxa"/>
            <w:vAlign w:val="center"/>
          </w:tcPr>
          <w:p>
            <w:pPr>
              <w:pStyle w:val="6"/>
              <w:numPr>
                <w:ilvl w:val="0"/>
                <w:numId w:val="4"/>
              </w:numPr>
              <w:spacing w:line="360" w:lineRule="auto"/>
              <w:jc w:val="center"/>
              <w:rPr>
                <w:rFonts w:ascii="仿宋_GB2312" w:hAnsi="仿宋_GB2312" w:eastAsia="仿宋_GB2312" w:cs="仿宋_GB2312"/>
                <w:color w:val="auto"/>
                <w:sz w:val="28"/>
                <w:szCs w:val="28"/>
              </w:rPr>
            </w:pPr>
          </w:p>
        </w:tc>
        <w:tc>
          <w:tcPr>
            <w:tcW w:w="7955" w:type="dxa"/>
            <w:vAlign w:val="center"/>
          </w:tcPr>
          <w:p>
            <w:pPr>
              <w:pStyle w:val="6"/>
              <w:spacing w:line="360" w:lineRule="auto"/>
              <w:ind w:left="-107" w:leftChars="-51"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报价人认为有必要说明的其他资料（格式自定）</w:t>
            </w:r>
          </w:p>
        </w:tc>
      </w:tr>
    </w:tbl>
    <w:p>
      <w:pPr>
        <w:spacing w:line="360" w:lineRule="auto"/>
        <w:rPr>
          <w:rFonts w:ascii="仿宋_GB2312" w:hAnsi="仿宋_GB2312" w:eastAsia="仿宋_GB2312" w:cs="仿宋_GB2312"/>
          <w:bCs/>
          <w:color w:val="auto"/>
          <w:sz w:val="28"/>
          <w:szCs w:val="28"/>
        </w:rPr>
      </w:pPr>
    </w:p>
    <w:p>
      <w:pPr>
        <w:pStyle w:val="7"/>
        <w:spacing w:line="360" w:lineRule="auto"/>
        <w:ind w:left="840" w:hanging="420"/>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特别提示与要求</w:t>
      </w:r>
    </w:p>
    <w:p>
      <w:pPr>
        <w:pStyle w:val="7"/>
        <w:spacing w:line="360" w:lineRule="auto"/>
        <w:ind w:left="840" w:hanging="420"/>
        <w:jc w:val="center"/>
        <w:rPr>
          <w:rFonts w:ascii="仿宋_GB2312" w:hAnsi="仿宋_GB2312" w:eastAsia="仿宋_GB2312" w:cs="仿宋_GB2312"/>
          <w:b/>
          <w:bCs/>
          <w:color w:val="auto"/>
          <w:sz w:val="28"/>
          <w:szCs w:val="28"/>
        </w:rPr>
      </w:pPr>
    </w:p>
    <w:p>
      <w:pPr>
        <w:pStyle w:val="24"/>
        <w:spacing w:line="360" w:lineRule="auto"/>
        <w:ind w:firstLine="630" w:firstLineChars="225"/>
        <w:jc w:val="center"/>
        <w:rPr>
          <w:rFonts w:ascii="仿宋_GB2312" w:hAnsi="仿宋_GB2312" w:eastAsia="仿宋_GB2312" w:cs="仿宋_GB2312"/>
          <w:b/>
          <w:color w:val="auto"/>
          <w:kern w:val="0"/>
          <w:sz w:val="28"/>
          <w:szCs w:val="28"/>
        </w:rPr>
      </w:pPr>
      <w:r>
        <w:rPr>
          <w:rFonts w:hint="eastAsia" w:ascii="仿宋_GB2312" w:hAnsi="仿宋_GB2312" w:eastAsia="仿宋_GB2312" w:cs="仿宋_GB2312"/>
          <w:color w:val="auto"/>
          <w:kern w:val="0"/>
          <w:sz w:val="28"/>
          <w:szCs w:val="28"/>
        </w:rPr>
        <w:t>请报价人严格按照表格内容及要求制作响应文件，所有证书类文件提供复印件且必须在有效期内，表中带★的材料将作为报价人资格性和符合性审查的重要内容之一。</w:t>
      </w:r>
      <w:r>
        <w:rPr>
          <w:rFonts w:hint="eastAsia" w:ascii="仿宋_GB2312" w:hAnsi="仿宋_GB2312" w:eastAsia="仿宋_GB2312" w:cs="仿宋_GB2312"/>
          <w:color w:val="auto"/>
          <w:kern w:val="0"/>
          <w:sz w:val="28"/>
          <w:szCs w:val="28"/>
        </w:rPr>
        <w:br w:type="page"/>
      </w:r>
      <w:r>
        <w:rPr>
          <w:rFonts w:hint="eastAsia" w:ascii="仿宋_GB2312" w:hAnsi="仿宋_GB2312" w:eastAsia="仿宋_GB2312" w:cs="仿宋_GB2312"/>
          <w:b/>
          <w:color w:val="auto"/>
          <w:kern w:val="0"/>
          <w:sz w:val="28"/>
          <w:szCs w:val="28"/>
        </w:rPr>
        <w:t>格式1   法定代表人身份证明书</w:t>
      </w:r>
    </w:p>
    <w:p>
      <w:pPr>
        <w:pStyle w:val="6"/>
        <w:spacing w:line="360" w:lineRule="auto"/>
        <w:ind w:firstLine="0"/>
        <w:rPr>
          <w:rFonts w:ascii="仿宋_GB2312" w:hAnsi="仿宋_GB2312" w:eastAsia="仿宋_GB2312" w:cs="仿宋_GB2312"/>
          <w:b/>
          <w:color w:val="auto"/>
          <w:sz w:val="28"/>
          <w:szCs w:val="28"/>
        </w:rPr>
      </w:pP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pStyle w:val="6"/>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同志，现任我单位职务，为法定代表人，特此证明。</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   单位：（盖章）</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附：代表人性别： 年龄： 身份证号码：</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联系电话：</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营业执照号码：            经济性质：</w:t>
      </w:r>
    </w:p>
    <w:p>
      <w:pPr>
        <w:pStyle w:val="6"/>
        <w:spacing w:line="360" w:lineRule="auto"/>
        <w:ind w:firstLine="48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主营（产）：</w:t>
      </w:r>
    </w:p>
    <w:p>
      <w:pPr>
        <w:pStyle w:val="6"/>
        <w:spacing w:line="360" w:lineRule="auto"/>
        <w:ind w:firstLine="48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兼营（产）：位、国家机关、社会团体的主要行政负责人。</w:t>
      </w:r>
    </w:p>
    <w:p>
      <w:pPr>
        <w:pStyle w:val="6"/>
        <w:spacing w:line="360" w:lineRule="auto"/>
        <w:ind w:firstLineChars="1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内容必须填写真实、清楚、涂改无效，不得转让、买卖。</w:t>
      </w:r>
    </w:p>
    <w:p>
      <w:pPr>
        <w:pStyle w:val="6"/>
        <w:spacing w:line="360" w:lineRule="auto"/>
        <w:ind w:firstLine="735"/>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85090</wp:posOffset>
                </wp:positionV>
                <wp:extent cx="4230370" cy="3596640"/>
                <wp:effectExtent l="4445" t="4445" r="17145" b="10795"/>
                <wp:wrapNone/>
                <wp:docPr id="6" name="AutoShape 2"/>
                <wp:cNvGraphicFramePr/>
                <a:graphic xmlns:a="http://schemas.openxmlformats.org/drawingml/2006/main">
                  <a:graphicData uri="http://schemas.microsoft.com/office/word/2010/wordprocessingShape">
                    <wps:wsp>
                      <wps:cNvSpPr/>
                      <wps:spPr>
                        <a:xfrm>
                          <a:off x="0" y="0"/>
                          <a:ext cx="4230370" cy="3596640"/>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提示：请将法定代表人身份证复印件（正反面）粘贴在此处，并加盖公章。</w:t>
                            </w:r>
                          </w:p>
                          <w:p>
                            <w:pPr>
                              <w:rPr>
                                <w:b/>
                                <w:sz w:val="22"/>
                              </w:rPr>
                            </w:pPr>
                          </w:p>
                        </w:txbxContent>
                      </wps:txbx>
                      <wps:bodyPr upright="1"/>
                    </wps:wsp>
                  </a:graphicData>
                </a:graphic>
              </wp:anchor>
            </w:drawing>
          </mc:Choice>
          <mc:Fallback>
            <w:pict>
              <v:shape id="AutoShape 2" o:spid="_x0000_s1026" o:spt="176" type="#_x0000_t176" style="position:absolute;left:0pt;margin-left:38pt;margin-top:6.7pt;height:283.2pt;width:333.1pt;z-index:251660288;mso-width-relative:page;mso-height-relative:page;" fillcolor="#FFFFFF" filled="t" stroked="t" coordsize="21600,21600" o:gfxdata="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jmqHaAAAACQEAAA8AAAAAAAAAAQAgAAAAIgAAAGRycy9kb3ducmV2LnhtbFBLAQIU&#10;ABQAAAAIAIdO4kAD/Kpc8QEAAAEEAAAOAAAAAAAAAAEAIAAAACk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8"/>
        <w:pageBreakBefore/>
        <w:spacing w:line="360" w:lineRule="auto"/>
        <w:ind w:firstLine="562" w:firstLineChars="200"/>
        <w:jc w:val="center"/>
        <w:rPr>
          <w:rFonts w:ascii="仿宋_GB2312" w:hAnsi="仿宋_GB2312" w:eastAsia="仿宋_GB2312" w:cs="仿宋_GB2312"/>
          <w:color w:val="auto"/>
          <w:sz w:val="28"/>
          <w:szCs w:val="28"/>
        </w:rPr>
      </w:pPr>
      <w:bookmarkStart w:id="77" w:name="_Toc70999735"/>
      <w:bookmarkStart w:id="78" w:name="_Toc72224527"/>
      <w:bookmarkStart w:id="79" w:name="_Toc71000467"/>
      <w:bookmarkStart w:id="80" w:name="_Toc98579016"/>
      <w:bookmarkStart w:id="81" w:name="_Toc98579615"/>
      <w:bookmarkStart w:id="82" w:name="_Toc71000736"/>
      <w:bookmarkStart w:id="83" w:name="_Toc98579074"/>
      <w:bookmarkStart w:id="84" w:name="_Toc98580298"/>
      <w:r>
        <w:rPr>
          <w:rFonts w:hint="eastAsia" w:ascii="仿宋_GB2312" w:hAnsi="仿宋_GB2312" w:eastAsia="仿宋_GB2312" w:cs="仿宋_GB2312"/>
          <w:b/>
          <w:color w:val="auto"/>
          <w:sz w:val="28"/>
          <w:szCs w:val="28"/>
          <w:lang w:val="en-GB"/>
        </w:rPr>
        <w:t xml:space="preserve">格式2   </w:t>
      </w:r>
      <w:r>
        <w:rPr>
          <w:rFonts w:hint="eastAsia" w:ascii="仿宋_GB2312" w:hAnsi="仿宋_GB2312" w:eastAsia="仿宋_GB2312" w:cs="仿宋_GB2312"/>
          <w:b/>
          <w:color w:val="auto"/>
          <w:sz w:val="28"/>
          <w:szCs w:val="28"/>
        </w:rPr>
        <w:t>授权委托证明书</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（报价单位全称）法定代表人（姓名）兹授权（授权代表姓名）为授权代表，参加贵方组织的</w:t>
      </w:r>
      <w:r>
        <w:rPr>
          <w:rFonts w:hint="eastAsia" w:ascii="仿宋_GB2312" w:hAnsi="仿宋_GB2312" w:eastAsia="仿宋_GB2312" w:cs="仿宋_GB2312"/>
          <w:color w:val="auto"/>
          <w:sz w:val="28"/>
          <w:szCs w:val="28"/>
          <w:u w:val="single"/>
        </w:rPr>
        <w:t>广东省卫生健康宣传教育中心家庭健康包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采购评审活动。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（授权代表姓名）以我单位的名义并代表我单位签署报价书和所有响应文件，进行谈判、签署合同和全权处理采购评审活动中的一切事宜，其在该项目采购评审活动的一切行为对我单位具有法律约束力。</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有效期限：至年月日 </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报价单位名称（公章）：</w:t>
      </w:r>
    </w:p>
    <w:p>
      <w:pPr>
        <w:spacing w:line="360" w:lineRule="auto"/>
        <w:rPr>
          <w:rFonts w:ascii="仿宋_GB2312" w:hAnsi="仿宋_GB2312" w:eastAsia="仿宋_GB2312" w:cs="仿宋_GB2312"/>
          <w:color w:val="auto"/>
          <w:sz w:val="28"/>
          <w:szCs w:val="28"/>
          <w:u w:val="single"/>
        </w:rPr>
      </w:pPr>
    </w:p>
    <w:p>
      <w:pPr>
        <w:pStyle w:val="9"/>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法定代表人（签字）：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rPr>
          <w:rFonts w:ascii="仿宋_GB2312" w:hAnsi="仿宋_GB2312" w:eastAsia="仿宋_GB2312" w:cs="仿宋_GB2312"/>
          <w:color w:val="auto"/>
          <w:sz w:val="28"/>
          <w:szCs w:val="28"/>
        </w:rPr>
      </w:pPr>
    </w:p>
    <w:p>
      <w:pPr>
        <w:pStyle w:val="9"/>
        <w:spacing w:line="360" w:lineRule="auto"/>
        <w:rPr>
          <w:rFonts w:ascii="仿宋_GB2312" w:hAnsi="仿宋_GB2312" w:eastAsia="仿宋_GB2312" w:cs="仿宋_GB2312"/>
          <w:color w:val="auto"/>
          <w:szCs w:val="28"/>
          <w:u w:val="single"/>
        </w:rPr>
      </w:pPr>
      <w:r>
        <w:rPr>
          <w:rFonts w:hint="eastAsia" w:ascii="仿宋_GB2312" w:hAnsi="仿宋_GB2312" w:eastAsia="仿宋_GB2312" w:cs="仿宋_GB2312"/>
          <w:color w:val="auto"/>
          <w:szCs w:val="28"/>
        </w:rPr>
        <w:t>授权代表（签字）：</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rPr>
          <w:rFonts w:ascii="仿宋_GB2312" w:hAnsi="仿宋_GB2312" w:eastAsia="仿宋_GB2312" w:cs="仿宋_GB2312"/>
          <w:color w:val="auto"/>
          <w:sz w:val="28"/>
          <w:szCs w:val="28"/>
        </w:rPr>
      </w:pPr>
    </w:p>
    <w:p>
      <w:pPr>
        <w:pStyle w:val="8"/>
        <w:wordWrap w:val="0"/>
        <w:spacing w:line="360" w:lineRule="auto"/>
        <w:ind w:left="3400" w:leftChars="1619"/>
        <w:jc w:val="righ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560705</wp:posOffset>
                </wp:positionH>
                <wp:positionV relativeFrom="paragraph">
                  <wp:posOffset>69215</wp:posOffset>
                </wp:positionV>
                <wp:extent cx="4953000" cy="1358265"/>
                <wp:effectExtent l="4445" t="4445" r="10795" b="8890"/>
                <wp:wrapNone/>
                <wp:docPr id="4" name="AutoShape 4"/>
                <wp:cNvGraphicFramePr/>
                <a:graphic xmlns:a="http://schemas.openxmlformats.org/drawingml/2006/main">
                  <a:graphicData uri="http://schemas.microsoft.com/office/word/2010/wordprocessingShape">
                    <wps:wsp>
                      <wps:cNvSpPr/>
                      <wps:spPr>
                        <a:xfrm>
                          <a:off x="0" y="0"/>
                          <a:ext cx="4953000" cy="1358265"/>
                        </a:xfrm>
                        <a:prstGeom prst="flowChartAlternateProcess">
                          <a:avLst/>
                        </a:prstGeom>
                        <a:solidFill>
                          <a:srgbClr val="FFFFFF"/>
                        </a:solidFill>
                        <a:ln w="9525" cap="flat" cmpd="sng">
                          <a:solidFill>
                            <a:srgbClr val="000000"/>
                          </a:solidFill>
                          <a:prstDash val="dash"/>
                          <a:miter/>
                          <a:headEnd type="none" w="med" len="med"/>
                          <a:tailEnd type="none" w="med" len="med"/>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upright="1"/>
                    </wps:wsp>
                  </a:graphicData>
                </a:graphic>
              </wp:anchor>
            </w:drawing>
          </mc:Choice>
          <mc:Fallback>
            <w:pict>
              <v:shape id="AutoShape 4" o:spid="_x0000_s1026" o:spt="176" type="#_x0000_t176" style="position:absolute;left:0pt;margin-left:44.15pt;margin-top:5.45pt;height:106.95pt;width:390pt;z-index:251661312;mso-width-relative:page;mso-height-relative:page;" fillcolor="#FFFFFF" filled="t" stroked="t" coordsize="21600,21600" o:gfxdata="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ewZlrZAAAACQEAAA8AAAAAAAAAAQAgAAAAIgAAAGRycy9kb3ducmV2LnhtbFBLAQIU&#10;ABQAAAAIAIdO4kBeHVRy8gEAAAEEAAAOAAAAAAAAAAEAIAAAACgBAABkcnMvZTJvRG9jLnhtbFBL&#10;BQYAAAAABgAGAFkBAACMBQAAAAA=&#10;">
                <v:fill on="t" focussize="0,0"/>
                <v:stroke color="#000000"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8"/>
        <w:spacing w:line="360" w:lineRule="auto"/>
        <w:ind w:left="3400" w:leftChars="1619"/>
        <w:jc w:val="right"/>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lang w:val="zh-CN"/>
        </w:rPr>
      </w:pPr>
    </w:p>
    <w:p>
      <w:pPr>
        <w:pStyle w:val="8"/>
        <w:spacing w:line="360" w:lineRule="auto"/>
        <w:rPr>
          <w:rFonts w:ascii="仿宋_GB2312" w:hAnsi="仿宋_GB2312" w:eastAsia="仿宋_GB2312" w:cs="仿宋_GB2312"/>
          <w:color w:val="auto"/>
          <w:sz w:val="28"/>
          <w:szCs w:val="28"/>
          <w:lang w:val="zh-CN"/>
        </w:rPr>
      </w:pPr>
    </w:p>
    <w:p>
      <w:pPr>
        <w:pStyle w:val="8"/>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说明：</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法定代表人亲自签署“报价函”的，则无需提交本表。</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“报价函”由委托代理人签署的，须提交本授权委托证明书（要有单位公章、法定代表人的亲笔签字或盖章，缺一不可）。</w:t>
      </w:r>
    </w:p>
    <w:p>
      <w:pPr>
        <w:pStyle w:val="8"/>
        <w:numPr>
          <w:ilvl w:val="0"/>
          <w:numId w:val="5"/>
        </w:numPr>
        <w:tabs>
          <w:tab w:val="left" w:pos="360"/>
          <w:tab w:val="clear" w:pos="1264"/>
        </w:tabs>
        <w:spacing w:line="360" w:lineRule="auto"/>
        <w:ind w:left="0" w:firstLine="0"/>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非法人报价的，负责人指《营业执照》上载明的负责人。</w:t>
      </w:r>
    </w:p>
    <w:p>
      <w:pPr>
        <w:pStyle w:val="8"/>
        <w:tabs>
          <w:tab w:val="left" w:pos="360"/>
        </w:tabs>
        <w:spacing w:line="360" w:lineRule="auto"/>
        <w:rPr>
          <w:rFonts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br w:type="page"/>
      </w:r>
    </w:p>
    <w:p>
      <w:pPr>
        <w:pStyle w:val="8"/>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格式3   报价函</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致：广东省卫生健康宣传教育中心：</w:t>
      </w:r>
    </w:p>
    <w:p>
      <w:pPr>
        <w:spacing w:line="360" w:lineRule="auto"/>
        <w:ind w:firstLine="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我方审阅了贵方的采购文件的全部内容，现提交我方的响应文件。</w:t>
      </w:r>
    </w:p>
    <w:p>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我方（报价人全称）授权（授权代表姓名）（职务、职称）为授权代表，参加贵方组织的</w:t>
      </w:r>
      <w:r>
        <w:rPr>
          <w:rFonts w:hint="eastAsia" w:ascii="仿宋_GB2312" w:hAnsi="仿宋_GB2312" w:eastAsia="仿宋_GB2312" w:cs="仿宋_GB2312"/>
          <w:color w:val="auto"/>
          <w:sz w:val="28"/>
          <w:szCs w:val="28"/>
          <w:u w:val="single"/>
        </w:rPr>
        <w:t>广东省卫生健康宣传教育中心家庭健康包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评审的有关活动，并对</w:t>
      </w:r>
      <w:r>
        <w:rPr>
          <w:rFonts w:hint="eastAsia" w:ascii="仿宋_GB2312" w:hAnsi="仿宋_GB2312" w:eastAsia="仿宋_GB2312" w:cs="仿宋_GB2312"/>
          <w:color w:val="auto"/>
          <w:sz w:val="28"/>
          <w:szCs w:val="28"/>
          <w:u w:val="single"/>
        </w:rPr>
        <w:t>广东省卫生健康宣传教育中心家庭健康包</w:t>
      </w:r>
      <w:r>
        <w:rPr>
          <w:rFonts w:hint="eastAsia" w:ascii="仿宋_GB2312" w:hAnsi="仿宋_GB2312" w:eastAsia="仿宋_GB2312" w:cs="仿宋_GB2312"/>
          <w:color w:val="auto"/>
          <w:sz w:val="28"/>
          <w:szCs w:val="28"/>
          <w:u w:val="single"/>
          <w:shd w:val="clear" w:color="auto" w:fill="FFFFFF"/>
        </w:rPr>
        <w:t>项目</w:t>
      </w:r>
      <w:r>
        <w:rPr>
          <w:rFonts w:hint="eastAsia" w:ascii="仿宋_GB2312" w:hAnsi="仿宋_GB2312" w:eastAsia="仿宋_GB2312" w:cs="仿宋_GB2312"/>
          <w:color w:val="auto"/>
          <w:sz w:val="28"/>
          <w:szCs w:val="28"/>
        </w:rPr>
        <w:t>进行报价。</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签字代表在此声明并同意</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1.我方愿意遵守招标公司采购文件中的各项规定，提供符合“用户需求”所要求的内容，报价总价为元人民币。</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2.我方同意本报价自响应文件递交截止日起90天内有效。如果我方的报价被接受，则直至合同终止时止，本报价始终有效。</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我方在参与报价前已仔细研究了采购文件和所有相关资料，我方完全明白并认为此采购文件没有倾向性，也没有存在排斥潜在报价人的内容，我方同意采购文件的相关条款，放弃对采购文件提出误解和质疑的一切权利。</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4.我方声明响应文件及所提供的一切资料均真实无误及有效。由于我方提供资料不实而造成的责任和后果由我方承担。我方同意按照贵方提出的要求，提供与报价有关的任何其它数据或信息。</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5.我方理解，最低报价不能成为中标的唯一理由。</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6.我方如果中标，保证履行响应文件中承诺的全部责任和义务，切实履行《政府采购合同》中的全部条款并按照采购文件的要求向贵公司足额缴纳招标代理服务费。</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8.所有有关本次报价的函电请寄： </w:t>
      </w:r>
    </w:p>
    <w:p>
      <w:pPr>
        <w:spacing w:line="360" w:lineRule="auto"/>
        <w:ind w:left="753" w:leftChars="203" w:hanging="327" w:hangingChars="117"/>
        <w:rPr>
          <w:rFonts w:ascii="仿宋_GB2312" w:hAnsi="仿宋_GB2312" w:eastAsia="仿宋_GB2312" w:cs="仿宋_GB2312"/>
          <w:color w:val="auto"/>
          <w:sz w:val="28"/>
          <w:szCs w:val="28"/>
        </w:rPr>
      </w:pPr>
    </w:p>
    <w:p>
      <w:pPr>
        <w:tabs>
          <w:tab w:val="left" w:pos="406"/>
        </w:tabs>
        <w:adjustRightInd w:val="0"/>
        <w:spacing w:line="360" w:lineRule="auto"/>
        <w:ind w:left="-126" w:leftChars="-60" w:firstLine="140" w:firstLineChars="5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        邮政编码：</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  话：        传    真：</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报价人（法人公章）：                     授权代表姓名（签字）：</w:t>
      </w:r>
    </w:p>
    <w:p>
      <w:pPr>
        <w:adjustRightInd w:val="0"/>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    期：</w:t>
      </w:r>
    </w:p>
    <w:p>
      <w:pPr>
        <w:spacing w:line="360" w:lineRule="auto"/>
        <w:ind w:right="84" w:rightChars="4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rPr>
        <w:t>备注:本报价函内容不得擅自删改。</w:t>
      </w:r>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lang w:val="en-GB"/>
        </w:rPr>
        <w:br w:type="page"/>
      </w:r>
      <w:r>
        <w:rPr>
          <w:rFonts w:hint="eastAsia" w:ascii="仿宋_GB2312" w:hAnsi="仿宋_GB2312" w:eastAsia="仿宋_GB2312" w:cs="仿宋_GB2312"/>
          <w:b/>
          <w:color w:val="auto"/>
          <w:sz w:val="28"/>
          <w:szCs w:val="28"/>
          <w:lang w:val="en-GB"/>
        </w:rPr>
        <w:t xml:space="preserve">格式4  </w:t>
      </w:r>
      <w:r>
        <w:rPr>
          <w:rFonts w:hint="eastAsia" w:ascii="仿宋_GB2312" w:hAnsi="仿宋_GB2312" w:eastAsia="仿宋_GB2312" w:cs="仿宋_GB2312"/>
          <w:b/>
          <w:color w:val="auto"/>
          <w:sz w:val="28"/>
          <w:szCs w:val="28"/>
        </w:rPr>
        <w:t>开标一览表</w:t>
      </w:r>
    </w:p>
    <w:p>
      <w:pPr>
        <w:spacing w:line="360" w:lineRule="auto"/>
        <w:rPr>
          <w:rFonts w:ascii="仿宋_GB2312" w:hAnsi="仿宋_GB2312" w:eastAsia="仿宋_GB2312" w:cs="仿宋_GB2312"/>
          <w:b/>
          <w:bCs/>
          <w:color w:val="auto"/>
          <w:sz w:val="28"/>
          <w:szCs w:val="28"/>
        </w:rPr>
      </w:pPr>
    </w:p>
    <w:p>
      <w:pPr>
        <w:ind w:firstLine="562"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color w:val="auto"/>
          <w:sz w:val="28"/>
          <w:szCs w:val="28"/>
        </w:rPr>
        <w:t>广东省卫生健康宣传教育中心家庭健康包项目</w:t>
      </w:r>
    </w:p>
    <w:p>
      <w:pPr>
        <w:spacing w:line="360" w:lineRule="auto"/>
        <w:ind w:firstLine="562" w:firstLineChars="200"/>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项目编号：N20220</w:t>
      </w:r>
      <w:r>
        <w:rPr>
          <w:rFonts w:hint="eastAsia" w:ascii="仿宋_GB2312" w:hAnsi="仿宋_GB2312" w:eastAsia="仿宋_GB2312" w:cs="仿宋_GB2312"/>
          <w:b/>
          <w:bCs/>
          <w:color w:val="auto"/>
          <w:sz w:val="28"/>
          <w:szCs w:val="28"/>
          <w:lang w:val="en-US" w:eastAsia="zh-CN"/>
        </w:rPr>
        <w:t>411</w:t>
      </w:r>
    </w:p>
    <w:p>
      <w:pPr>
        <w:spacing w:line="360" w:lineRule="auto"/>
        <w:ind w:firstLine="562"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报价人名称：</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spacing w:line="360" w:lineRule="auto"/>
        <w:ind w:firstLine="840" w:firstLineChars="3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报价人完全理解和接受采购人采购文件的一切规定和要求，按照采购文件中的一切要求提供本项目的服务，项目总报价为人民币大写：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元整（人民币小写：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p>
    <w:p>
      <w:pPr>
        <w:spacing w:line="360" w:lineRule="auto"/>
        <w:ind w:left="4253" w:leftChars="2025"/>
        <w:rPr>
          <w:rFonts w:ascii="仿宋_GB2312" w:hAnsi="仿宋_GB2312" w:eastAsia="仿宋_GB2312" w:cs="仿宋_GB2312"/>
          <w:color w:val="auto"/>
          <w:sz w:val="28"/>
          <w:szCs w:val="28"/>
        </w:rPr>
      </w:pPr>
    </w:p>
    <w:p>
      <w:pPr>
        <w:spacing w:line="360" w:lineRule="auto"/>
        <w:ind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 价 人（单位公章）：</w:t>
      </w:r>
    </w:p>
    <w:p>
      <w:pPr>
        <w:spacing w:line="360" w:lineRule="auto"/>
        <w:ind w:right="480" w:firstLine="3920" w:firstLineChars="14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8"/>
        <w:spacing w:line="360" w:lineRule="auto"/>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rPr>
      </w:pPr>
    </w:p>
    <w:p>
      <w:pPr>
        <w:pStyle w:val="8"/>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pStyle w:val="8"/>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1、为方便开标，此表除应附入响应文件外，另附复印件在单独的信封内密封提交。</w:t>
      </w:r>
    </w:p>
    <w:p>
      <w:pPr>
        <w:spacing w:line="360" w:lineRule="auto"/>
        <w:ind w:firstLine="560" w:firstLineChars="200"/>
        <w:rPr>
          <w:rFonts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格式5  分项报价表</w:t>
      </w:r>
    </w:p>
    <w:tbl>
      <w:tblPr>
        <w:tblStyle w:val="14"/>
        <w:tblpPr w:leftFromText="180" w:rightFromText="180" w:vertAnchor="text" w:horzAnchor="page" w:tblpX="2100" w:tblpY="612"/>
        <w:tblOverlap w:val="never"/>
        <w:tblW w:w="8197" w:type="dxa"/>
        <w:tblInd w:w="0" w:type="dxa"/>
        <w:tblLayout w:type="fixed"/>
        <w:tblCellMar>
          <w:top w:w="15" w:type="dxa"/>
          <w:left w:w="15" w:type="dxa"/>
          <w:bottom w:w="15" w:type="dxa"/>
          <w:right w:w="15" w:type="dxa"/>
        </w:tblCellMar>
      </w:tblPr>
      <w:tblGrid>
        <w:gridCol w:w="636"/>
        <w:gridCol w:w="2291"/>
        <w:gridCol w:w="770"/>
        <w:gridCol w:w="876"/>
        <w:gridCol w:w="1848"/>
        <w:gridCol w:w="1776"/>
      </w:tblGrid>
      <w:tr>
        <w:tblPrEx>
          <w:tblLayout w:type="fixed"/>
          <w:tblCellMar>
            <w:top w:w="15" w:type="dxa"/>
            <w:left w:w="15" w:type="dxa"/>
            <w:bottom w:w="15" w:type="dxa"/>
            <w:right w:w="15" w:type="dxa"/>
          </w:tblCellMar>
        </w:tblPrEx>
        <w:trPr>
          <w:trHeight w:val="690" w:hRule="atLeast"/>
        </w:trPr>
        <w:tc>
          <w:tcPr>
            <w:tcW w:w="8197" w:type="dxa"/>
            <w:gridSpan w:val="6"/>
            <w:tcBorders>
              <w:bottom w:val="single" w:color="000000" w:sz="2" w:space="0"/>
            </w:tcBorders>
            <w:shd w:val="clear" w:color="auto" w:fill="auto"/>
            <w:vAlign w:val="center"/>
          </w:tcPr>
          <w:p>
            <w:pPr>
              <w:spacing w:line="360" w:lineRule="auto"/>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广东省卫生健康宣传教育中心家庭健康包项目费用测算</w:t>
            </w:r>
          </w:p>
        </w:tc>
      </w:tr>
      <w:tr>
        <w:tblPrEx>
          <w:tblLayout w:type="fixed"/>
          <w:tblCellMar>
            <w:top w:w="15" w:type="dxa"/>
            <w:left w:w="15" w:type="dxa"/>
            <w:bottom w:w="15" w:type="dxa"/>
            <w:right w:w="15" w:type="dxa"/>
          </w:tblCellMar>
        </w:tblPrEx>
        <w:trPr>
          <w:trHeight w:val="79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序号</w:t>
            </w: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分项名称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单位</w:t>
            </w: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数量</w:t>
            </w: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单价</w:t>
            </w: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合计</w:t>
            </w:r>
          </w:p>
        </w:tc>
      </w:tr>
      <w:tr>
        <w:tblPrEx>
          <w:tblLayout w:type="fixed"/>
          <w:tblCellMar>
            <w:top w:w="15" w:type="dxa"/>
            <w:left w:w="15" w:type="dxa"/>
            <w:bottom w:w="15" w:type="dxa"/>
            <w:right w:w="15" w:type="dxa"/>
          </w:tblCellMar>
        </w:tblPrEx>
        <w:trPr>
          <w:trHeight w:val="40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1</w:t>
            </w: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家庭健康包</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个</w:t>
            </w: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r>
        <w:tblPrEx>
          <w:tblLayout w:type="fixed"/>
          <w:tblCellMar>
            <w:top w:w="15" w:type="dxa"/>
            <w:left w:w="15" w:type="dxa"/>
            <w:bottom w:w="15" w:type="dxa"/>
            <w:right w:w="15" w:type="dxa"/>
          </w:tblCellMar>
        </w:tblPrEx>
        <w:trPr>
          <w:trHeight w:val="405" w:hRule="atLeast"/>
        </w:trPr>
        <w:tc>
          <w:tcPr>
            <w:tcW w:w="63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229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8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r>
        <w:tblPrEx>
          <w:tblLayout w:type="fixed"/>
          <w:tblCellMar>
            <w:top w:w="15" w:type="dxa"/>
            <w:left w:w="15" w:type="dxa"/>
            <w:bottom w:w="15" w:type="dxa"/>
            <w:right w:w="15" w:type="dxa"/>
          </w:tblCellMar>
        </w:tblPrEx>
        <w:trPr>
          <w:trHeight w:val="405" w:hRule="atLeast"/>
        </w:trPr>
        <w:tc>
          <w:tcPr>
            <w:tcW w:w="4573" w:type="dxa"/>
            <w:gridSpan w:val="4"/>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合   计</w:t>
            </w:r>
          </w:p>
        </w:tc>
        <w:tc>
          <w:tcPr>
            <w:tcW w:w="184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c>
          <w:tcPr>
            <w:tcW w:w="1776"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说明：报价人在此表中漏报、少报的费用，均视为已隐含在报价总价中，采购人无须再向报价人支付报价总价之外的任何费用。</w:t>
      </w:r>
    </w:p>
    <w:p>
      <w:pPr>
        <w:spacing w:line="360" w:lineRule="auto"/>
        <w:ind w:left="901" w:leftChars="229" w:hanging="420" w:hangingChars="15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ind w:left="991" w:hanging="991" w:hangingChars="354"/>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60" w:lineRule="auto"/>
        <w:ind w:firstLine="6283" w:firstLineChars="2244"/>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注：1、所有分项价格应按本采购文件的规定要求填写，均为含税价。</w:t>
      </w:r>
    </w:p>
    <w:p>
      <w:pPr>
        <w:spacing w:line="360" w:lineRule="auto"/>
        <w:ind w:left="912" w:leftChars="228" w:hanging="433" w:hangingChars="154"/>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2、本表之报价总价应为各分项价格之和，并须与《开标一览表》之报价总价相一致。</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3、选购件价项不包括在本报价表内，应另附表分项单报。</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4、所有产品应填写生产厂家并配有中文名称。</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5、属于《政府采购促进中小企业发展管理办法》（财库[2011]181号）中规定的中小企业产品的，需在本表中详细列明。</w:t>
      </w:r>
    </w:p>
    <w:p>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格式6  对合同条款的应答</w:t>
      </w:r>
    </w:p>
    <w:p>
      <w:pPr>
        <w:spacing w:line="360" w:lineRule="auto"/>
        <w:jc w:val="center"/>
        <w:rPr>
          <w:rFonts w:ascii="仿宋_GB2312" w:hAnsi="仿宋_GB2312" w:eastAsia="仿宋_GB2312" w:cs="仿宋_GB2312"/>
          <w:b/>
          <w:color w:val="auto"/>
          <w:sz w:val="28"/>
          <w:szCs w:val="28"/>
        </w:rPr>
      </w:pPr>
    </w:p>
    <w:p>
      <w:pPr>
        <w:spacing w:line="360" w:lineRule="auto"/>
        <w:jc w:val="center"/>
        <w:rPr>
          <w:rFonts w:ascii="仿宋_GB2312" w:hAnsi="仿宋_GB2312" w:eastAsia="仿宋_GB2312" w:cs="仿宋_GB2312"/>
          <w:b/>
          <w:color w:val="auto"/>
          <w:sz w:val="28"/>
          <w:szCs w:val="28"/>
        </w:rPr>
      </w:pPr>
    </w:p>
    <w:p>
      <w:pPr>
        <w:spacing w:line="360" w:lineRule="auto"/>
        <w:ind w:firstLine="840" w:firstLineChars="3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3113405</wp:posOffset>
                </wp:positionH>
                <wp:positionV relativeFrom="paragraph">
                  <wp:posOffset>159385</wp:posOffset>
                </wp:positionV>
                <wp:extent cx="200025" cy="135255"/>
                <wp:effectExtent l="4445" t="4445" r="8890" b="12700"/>
                <wp:wrapNone/>
                <wp:docPr id="5" name="Rectangle 7"/>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245.15pt;margin-top:12.55pt;height:10.65pt;width:15.75pt;z-index:251664384;mso-width-relative:page;mso-height-relative:page;" filled="f" stroked="t" coordsize="21600,21600" o:gfxdata="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JJznXAAAACQEAAA8AAAAAAAAAAQAgAAAA&#10;IgAAAGRycy9kb3ducmV2LnhtbFBLAQIUABQAAAAIAIdO4kBw3bXj0wEAALcDAAAOAAAAAAAAAAEA&#10;IAAAACYBAABkcnMvZTJvRG9jLnhtbFBLBQYAAAAABgAGAFkBAABrBQ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（两种情况请选择一种应答，在    上打“√”）</w:t>
      </w: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7" name="Rectangle 5"/>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75pt;margin-top:6.75pt;height:10.65pt;width:15.75pt;z-index:251662336;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PPZtRr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合同条款全部满足</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85725</wp:posOffset>
                </wp:positionV>
                <wp:extent cx="200025" cy="135255"/>
                <wp:effectExtent l="4445" t="4445" r="8890" b="12700"/>
                <wp:wrapNone/>
                <wp:docPr id="8" name="Rectangle 6"/>
                <wp:cNvGraphicFramePr/>
                <a:graphic xmlns:a="http://schemas.openxmlformats.org/drawingml/2006/main">
                  <a:graphicData uri="http://schemas.microsoft.com/office/word/2010/wordprocessingShape">
                    <wps:wsp>
                      <wps:cNvSpPr/>
                      <wps:spPr>
                        <a:xfrm>
                          <a:off x="0" y="0"/>
                          <a:ext cx="200025" cy="13525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6" o:spid="_x0000_s1026" o:spt="1" style="position:absolute;left:0pt;margin-left:15.75pt;margin-top:6.75pt;height:10.65pt;width:15.75pt;z-index:251663360;mso-width-relative:page;mso-height-relative:page;" filled="f" stroked="t" coordsize="21600,21600" o:gfxdata="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QrrBNUAAAAHAQAADwAAAAAAAAABACAAAAAi&#10;AAAAZHJzL2Rvd25yZXYueG1sUEsBAhQAFAAAAAgAh07iQETJlkvUAQAAtwMAAA4AAAAAAAAAAQAg&#10;AAAAJAEAAGRycy9lMm9Eb2MueG1sUEsFBgAAAAAGAAYAWQEAAGoFAAAAAA==&#10;">
                <v:fill on="f" focussize="0,0"/>
                <v:stroke color="#000000" joinstyle="miter"/>
                <v:imagedata o:title=""/>
                <o:lock v:ext="edit" aspectratio="f"/>
              </v:rect>
            </w:pict>
          </mc:Fallback>
        </mc:AlternateContent>
      </w:r>
      <w:r>
        <w:rPr>
          <w:rFonts w:hint="eastAsia" w:ascii="仿宋_GB2312" w:hAnsi="仿宋_GB2312" w:eastAsia="仿宋_GB2312" w:cs="仿宋_GB2312"/>
          <w:color w:val="auto"/>
          <w:sz w:val="28"/>
          <w:szCs w:val="28"/>
        </w:rPr>
        <w:t xml:space="preserve">       1、不同意的合同条款（请列出修改意见）</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p>
    <w:p>
      <w:pPr>
        <w:spacing w:line="360" w:lineRule="auto"/>
        <w:ind w:firstLine="420"/>
        <w:rPr>
          <w:rFonts w:ascii="仿宋_GB2312" w:hAnsi="仿宋_GB2312" w:eastAsia="仿宋_GB2312" w:cs="仿宋_GB2312"/>
          <w:color w:val="auto"/>
          <w:sz w:val="28"/>
          <w:szCs w:val="28"/>
        </w:rPr>
      </w:pPr>
    </w:p>
    <w:p>
      <w:pPr>
        <w:spacing w:line="360" w:lineRule="auto"/>
        <w:ind w:firstLine="735"/>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2、其余合同条款全部满足。</w:t>
      </w: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firstLine="420"/>
        <w:rPr>
          <w:rFonts w:ascii="仿宋_GB2312" w:hAnsi="仿宋_GB2312" w:eastAsia="仿宋_GB2312" w:cs="仿宋_GB2312"/>
          <w:color w:val="auto"/>
          <w:sz w:val="28"/>
          <w:szCs w:val="28"/>
        </w:rPr>
      </w:pPr>
    </w:p>
    <w:p>
      <w:pPr>
        <w:spacing w:line="360" w:lineRule="auto"/>
        <w:ind w:right="960"/>
        <w:jc w:val="center"/>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报价人名称（盖章）：</w:t>
      </w:r>
    </w:p>
    <w:p>
      <w:pPr>
        <w:spacing w:line="360" w:lineRule="auto"/>
        <w:jc w:val="right"/>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pStyle w:val="8"/>
        <w:spacing w:line="360" w:lineRule="auto"/>
        <w:ind w:firstLine="4480" w:firstLineChars="16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 月 日</w:t>
      </w:r>
    </w:p>
    <w:p>
      <w:pPr>
        <w:pStyle w:val="8"/>
        <w:spacing w:line="360" w:lineRule="auto"/>
        <w:ind w:left="2520"/>
        <w:rPr>
          <w:rFonts w:ascii="仿宋_GB2312" w:hAnsi="仿宋_GB2312" w:eastAsia="仿宋_GB2312" w:cs="仿宋_GB2312"/>
          <w:color w:val="auto"/>
          <w:sz w:val="28"/>
          <w:szCs w:val="28"/>
        </w:rPr>
      </w:pPr>
    </w:p>
    <w:p>
      <w:pPr>
        <w:spacing w:line="360" w:lineRule="auto"/>
        <w:ind w:firstLine="420"/>
        <w:rPr>
          <w:rFonts w:ascii="宋体" w:hAnsi="宋体"/>
          <w:color w:val="auto"/>
          <w:sz w:val="28"/>
          <w:szCs w:val="28"/>
        </w:rPr>
      </w:pPr>
      <w:r>
        <w:rPr>
          <w:rFonts w:hint="eastAsia" w:ascii="仿宋_GB2312" w:hAnsi="仿宋_GB2312" w:eastAsia="仿宋_GB2312" w:cs="仿宋_GB2312"/>
          <w:color w:val="auto"/>
          <w:sz w:val="28"/>
          <w:szCs w:val="28"/>
        </w:rPr>
        <w:br w:type="page"/>
      </w:r>
    </w:p>
    <w:p>
      <w:pPr>
        <w:spacing w:line="360" w:lineRule="auto"/>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格式7   报价人概况表</w:t>
      </w: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（1）单位概况</w:t>
      </w:r>
    </w:p>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bl>
      <w:tblPr>
        <w:tblStyle w:val="14"/>
        <w:tblW w:w="944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80"/>
        <w:gridCol w:w="1340"/>
        <w:gridCol w:w="1120"/>
        <w:gridCol w:w="188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企业注册名称</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成立日期</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企业法人代表</w:t>
            </w:r>
          </w:p>
        </w:tc>
        <w:tc>
          <w:tcPr>
            <w:tcW w:w="1280" w:type="dxa"/>
            <w:vAlign w:val="center"/>
          </w:tcPr>
          <w:p>
            <w:pPr>
              <w:spacing w:line="360" w:lineRule="auto"/>
              <w:jc w:val="center"/>
              <w:rPr>
                <w:rFonts w:ascii="仿宋_GB2312" w:hAnsi="仿宋_GB2312" w:eastAsia="仿宋_GB2312" w:cs="仿宋_GB2312"/>
                <w:color w:val="auto"/>
                <w:sz w:val="28"/>
                <w:szCs w:val="28"/>
              </w:rPr>
            </w:pPr>
          </w:p>
        </w:tc>
        <w:tc>
          <w:tcPr>
            <w:tcW w:w="134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120" w:type="dxa"/>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企业性质</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企业资质等级</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上级主管部门</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经营方式</w:t>
            </w:r>
          </w:p>
        </w:tc>
        <w:tc>
          <w:tcPr>
            <w:tcW w:w="1660" w:type="dxa"/>
            <w:vMerge w:val="restart"/>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批准成立机构</w:t>
            </w:r>
          </w:p>
        </w:tc>
        <w:tc>
          <w:tcPr>
            <w:tcW w:w="3740" w:type="dxa"/>
            <w:gridSpan w:val="3"/>
            <w:vAlign w:val="center"/>
          </w:tcPr>
          <w:p>
            <w:pPr>
              <w:spacing w:line="360" w:lineRule="auto"/>
              <w:jc w:val="center"/>
              <w:rPr>
                <w:rFonts w:ascii="仿宋_GB2312" w:hAnsi="仿宋_GB2312" w:eastAsia="仿宋_GB2312" w:cs="仿宋_GB2312"/>
                <w:color w:val="auto"/>
                <w:sz w:val="28"/>
                <w:szCs w:val="28"/>
              </w:rPr>
            </w:pPr>
          </w:p>
        </w:tc>
        <w:tc>
          <w:tcPr>
            <w:tcW w:w="1880" w:type="dxa"/>
            <w:vMerge w:val="continue"/>
            <w:vAlign w:val="center"/>
          </w:tcPr>
          <w:p>
            <w:pPr>
              <w:spacing w:line="360" w:lineRule="auto"/>
              <w:rPr>
                <w:rFonts w:ascii="仿宋_GB2312" w:hAnsi="仿宋_GB2312" w:eastAsia="仿宋_GB2312" w:cs="仿宋_GB2312"/>
                <w:color w:val="auto"/>
                <w:sz w:val="28"/>
                <w:szCs w:val="28"/>
              </w:rPr>
            </w:pPr>
          </w:p>
        </w:tc>
        <w:tc>
          <w:tcPr>
            <w:tcW w:w="1660" w:type="dxa"/>
            <w:vMerge w:val="continue"/>
            <w:vAlign w:val="center"/>
          </w:tcPr>
          <w:p>
            <w:pPr>
              <w:spacing w:line="360" w:lineRule="auto"/>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经营范围</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企业简历</w:t>
            </w:r>
          </w:p>
        </w:tc>
        <w:tc>
          <w:tcPr>
            <w:tcW w:w="7280" w:type="dxa"/>
            <w:gridSpan w:val="5"/>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ind w:firstLine="280" w:firstLineChars="1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人员和设备情况</w:t>
      </w:r>
    </w:p>
    <w:tbl>
      <w:tblPr>
        <w:tblStyle w:val="1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35"/>
        <w:gridCol w:w="1050"/>
        <w:gridCol w:w="1155"/>
        <w:gridCol w:w="1470"/>
        <w:gridCol w:w="1155"/>
        <w:gridCol w:w="945"/>
        <w:gridCol w:w="94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94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企业职工总数</w:t>
            </w:r>
          </w:p>
        </w:tc>
        <w:tc>
          <w:tcPr>
            <w:tcW w:w="935" w:type="dxa"/>
            <w:vMerge w:val="restart"/>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w:t>
            </w:r>
          </w:p>
        </w:tc>
        <w:tc>
          <w:tcPr>
            <w:tcW w:w="4830" w:type="dxa"/>
            <w:gridSpan w:val="4"/>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有职称管理人员</w:t>
            </w:r>
          </w:p>
        </w:tc>
        <w:tc>
          <w:tcPr>
            <w:tcW w:w="2788" w:type="dxa"/>
            <w:gridSpan w:val="3"/>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工程师</w:t>
            </w:r>
          </w:p>
        </w:tc>
        <w:tc>
          <w:tcPr>
            <w:tcW w:w="1470"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助工</w:t>
            </w:r>
          </w:p>
        </w:tc>
        <w:tc>
          <w:tcPr>
            <w:tcW w:w="115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技术员</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4~8级</w:t>
            </w:r>
          </w:p>
        </w:tc>
        <w:tc>
          <w:tcPr>
            <w:tcW w:w="945"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1~3级</w:t>
            </w:r>
          </w:p>
        </w:tc>
        <w:tc>
          <w:tcPr>
            <w:tcW w:w="898" w:type="dxa"/>
            <w:vAlign w:val="center"/>
          </w:tcPr>
          <w:p>
            <w:pPr>
              <w:spacing w:line="360" w:lineRule="auto"/>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无级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5" w:type="dxa"/>
            <w:vMerge w:val="continue"/>
            <w:vAlign w:val="center"/>
          </w:tcPr>
          <w:p>
            <w:pPr>
              <w:spacing w:line="360" w:lineRule="auto"/>
              <w:jc w:val="center"/>
              <w:rPr>
                <w:rFonts w:ascii="仿宋_GB2312" w:hAnsi="仿宋_GB2312" w:eastAsia="仿宋_GB2312" w:cs="仿宋_GB2312"/>
                <w:color w:val="auto"/>
                <w:sz w:val="28"/>
                <w:szCs w:val="28"/>
              </w:rPr>
            </w:pPr>
          </w:p>
        </w:tc>
        <w:tc>
          <w:tcPr>
            <w:tcW w:w="935" w:type="dxa"/>
            <w:vMerge w:val="continue"/>
            <w:vAlign w:val="center"/>
          </w:tcPr>
          <w:p>
            <w:pPr>
              <w:spacing w:line="360" w:lineRule="auto"/>
              <w:jc w:val="center"/>
              <w:rPr>
                <w:rFonts w:ascii="仿宋_GB2312" w:hAnsi="仿宋_GB2312" w:eastAsia="仿宋_GB2312" w:cs="仿宋_GB2312"/>
                <w:color w:val="auto"/>
                <w:sz w:val="28"/>
                <w:szCs w:val="28"/>
              </w:rPr>
            </w:pPr>
          </w:p>
        </w:tc>
        <w:tc>
          <w:tcPr>
            <w:tcW w:w="105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1470" w:type="dxa"/>
            <w:vAlign w:val="center"/>
          </w:tcPr>
          <w:p>
            <w:pPr>
              <w:spacing w:line="360" w:lineRule="auto"/>
              <w:jc w:val="center"/>
              <w:rPr>
                <w:rFonts w:ascii="仿宋_GB2312" w:hAnsi="仿宋_GB2312" w:eastAsia="仿宋_GB2312" w:cs="仿宋_GB2312"/>
                <w:color w:val="auto"/>
                <w:sz w:val="28"/>
                <w:szCs w:val="28"/>
              </w:rPr>
            </w:pPr>
          </w:p>
        </w:tc>
        <w:tc>
          <w:tcPr>
            <w:tcW w:w="115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945" w:type="dxa"/>
            <w:vAlign w:val="center"/>
          </w:tcPr>
          <w:p>
            <w:pPr>
              <w:spacing w:line="360" w:lineRule="auto"/>
              <w:jc w:val="center"/>
              <w:rPr>
                <w:rFonts w:ascii="仿宋_GB2312" w:hAnsi="仿宋_GB2312" w:eastAsia="仿宋_GB2312" w:cs="仿宋_GB2312"/>
                <w:color w:val="auto"/>
                <w:sz w:val="28"/>
                <w:szCs w:val="28"/>
              </w:rPr>
            </w:pPr>
          </w:p>
        </w:tc>
        <w:tc>
          <w:tcPr>
            <w:tcW w:w="898" w:type="dxa"/>
            <w:vAlign w:val="center"/>
          </w:tcPr>
          <w:p>
            <w:pPr>
              <w:spacing w:line="360" w:lineRule="auto"/>
              <w:jc w:val="center"/>
              <w:rPr>
                <w:rFonts w:ascii="仿宋_GB2312" w:hAnsi="仿宋_GB2312" w:eastAsia="仿宋_GB2312" w:cs="仿宋_GB2312"/>
                <w:color w:val="auto"/>
                <w:sz w:val="28"/>
                <w:szCs w:val="28"/>
              </w:rPr>
            </w:pPr>
          </w:p>
        </w:tc>
      </w:tr>
    </w:tbl>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年以来的经第三方审计的审计报告复印件（包括资产负债表、现金流量表、利润表等）</w:t>
      </w:r>
    </w:p>
    <w:p>
      <w:pPr>
        <w:spacing w:line="360" w:lineRule="auto"/>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mc:AlternateContent>
          <mc:Choice Requires="wps">
            <w:drawing>
              <wp:anchor distT="0" distB="0" distL="114300" distR="114300" simplePos="0" relativeHeight="251665408" behindDoc="0" locked="0" layoutInCell="0" allowOverlap="1">
                <wp:simplePos x="0" y="0"/>
                <wp:positionH relativeFrom="column">
                  <wp:posOffset>457200</wp:posOffset>
                </wp:positionH>
                <wp:positionV relativeFrom="paragraph">
                  <wp:posOffset>-5080</wp:posOffset>
                </wp:positionV>
                <wp:extent cx="9525" cy="4445"/>
                <wp:effectExtent l="0" t="0" r="0" b="0"/>
                <wp:wrapNone/>
                <wp:docPr id="9" name="Line 8"/>
                <wp:cNvGraphicFramePr/>
                <a:graphic xmlns:a="http://schemas.openxmlformats.org/drawingml/2006/main">
                  <a:graphicData uri="http://schemas.microsoft.com/office/word/2010/wordprocessingShape">
                    <wps:wsp>
                      <wps:cNvCnPr/>
                      <wps:spPr>
                        <a:xfrm flipV="1">
                          <a:off x="0" y="0"/>
                          <a:ext cx="952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8" o:spid="_x0000_s1026" o:spt="20" style="position:absolute;left:0pt;flip:y;margin-left:36pt;margin-top:-0.4pt;height:0.35pt;width:0.75pt;z-index:251665408;mso-width-relative:page;mso-height-relative:page;" filled="f" stroked="t" coordsize="21600,21600" o:allowincell="f" o:gfxdata="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6UGxrTAAAABQEAAA8AAAAAAAAAAQAgAAAAIgAAAGRycy9kb3ducmV2LnhtbFBLAQIU&#10;ABQAAAAIAIdO4kC2ukdIvwEAAJcDAAAOAAAAAAAAAAEAIAAAACIBAABkcnMvZTJvRG9jLnhtbFBL&#10;BQYAAAAABgAGAFkBAABTBQAAAAA=&#10;">
                <v:fill on="f" focussize="0,0"/>
                <v:stroke color="#000000" joinstyle="round"/>
                <v:imagedata o:title=""/>
                <o:lock v:ext="edit" aspectratio="f"/>
              </v:line>
            </w:pict>
          </mc:Fallback>
        </mc:AlternateContent>
      </w:r>
    </w:p>
    <w:p>
      <w:pPr>
        <w:numPr>
          <w:ilvl w:val="0"/>
          <w:numId w:val="6"/>
        </w:num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目前和过去三年涉及的诉讼案件情况：</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（4）其它资料（如各种奖励或处罚等）：</w:t>
      </w:r>
    </w:p>
    <w:p>
      <w:pPr>
        <w:spacing w:line="360" w:lineRule="auto"/>
        <w:jc w:val="center"/>
        <w:rPr>
          <w:rFonts w:ascii="仿宋_GB2312" w:hAnsi="仿宋_GB2312" w:eastAsia="仿宋_GB2312" w:cs="仿宋_GB2312"/>
          <w:b/>
          <w:color w:val="auto"/>
          <w:sz w:val="28"/>
          <w:szCs w:val="28"/>
          <w:lang w:val="en-GB"/>
        </w:rPr>
      </w:pPr>
      <w:r>
        <w:rPr>
          <w:rFonts w:hint="eastAsia" w:ascii="仿宋_GB2312" w:hAnsi="仿宋_GB2312" w:eastAsia="仿宋_GB2312" w:cs="仿宋_GB2312"/>
          <w:b/>
          <w:color w:val="auto"/>
          <w:sz w:val="28"/>
          <w:szCs w:val="28"/>
          <w:lang w:val="en-GB"/>
        </w:rPr>
        <w:br w:type="page"/>
      </w:r>
      <w:r>
        <w:rPr>
          <w:rFonts w:hint="eastAsia" w:ascii="仿宋_GB2312" w:hAnsi="仿宋_GB2312" w:eastAsia="仿宋_GB2312" w:cs="仿宋_GB2312"/>
          <w:b/>
          <w:color w:val="auto"/>
          <w:sz w:val="28"/>
          <w:szCs w:val="28"/>
        </w:rPr>
        <w:t xml:space="preserve">格式8  </w:t>
      </w:r>
      <w:r>
        <w:rPr>
          <w:rFonts w:hint="eastAsia" w:ascii="仿宋_GB2312" w:hAnsi="仿宋_GB2312" w:eastAsia="仿宋_GB2312" w:cs="仿宋_GB2312"/>
          <w:b/>
          <w:color w:val="auto"/>
          <w:sz w:val="28"/>
          <w:szCs w:val="28"/>
          <w:lang w:val="en-GB"/>
        </w:rPr>
        <w:t>服务承诺</w:t>
      </w: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b/>
          <w:color w:val="auto"/>
          <w:sz w:val="28"/>
          <w:szCs w:val="28"/>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报价人自行编制</w:t>
      </w: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2"/>
        <w:numPr>
          <w:ilvl w:val="255"/>
          <w:numId w:val="0"/>
        </w:numPr>
        <w:rPr>
          <w:color w:val="auto"/>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firstLine="544"/>
        <w:rPr>
          <w:rFonts w:ascii="仿宋_GB2312" w:hAnsi="仿宋_GB2312" w:eastAsia="仿宋_GB2312" w:cs="仿宋_GB2312"/>
          <w:color w:val="auto"/>
          <w:sz w:val="28"/>
          <w:szCs w:val="28"/>
        </w:rPr>
      </w:pPr>
    </w:p>
    <w:p>
      <w:pPr>
        <w:pStyle w:val="2"/>
        <w:ind w:left="0" w:leftChars="0" w:firstLine="0" w:firstLineChars="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报价人名称（盖章）：</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法定人代表人或授权代表（签字）：</w:t>
      </w:r>
    </w:p>
    <w:p>
      <w:pPr>
        <w:spacing w:line="360" w:lineRule="auto"/>
        <w:rPr>
          <w:rFonts w:ascii="仿宋_GB2312" w:hAnsi="仿宋_GB2312" w:eastAsia="仿宋_GB2312" w:cs="仿宋_GB2312"/>
          <w:color w:val="auto"/>
          <w:sz w:val="28"/>
          <w:szCs w:val="28"/>
          <w:u w:val="single"/>
        </w:rPr>
      </w:pPr>
    </w:p>
    <w:p>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日期：年 月 日</w:t>
      </w:r>
    </w:p>
    <w:p>
      <w:pPr>
        <w:spacing w:line="360" w:lineRule="auto"/>
        <w:jc w:val="center"/>
        <w:rPr>
          <w:rFonts w:ascii="仿宋_GB2312" w:hAnsi="仿宋_GB2312" w:eastAsia="仿宋_GB2312" w:cs="仿宋_GB2312"/>
          <w:b/>
          <w:bCs/>
          <w:color w:val="auto"/>
          <w:sz w:val="28"/>
          <w:szCs w:val="28"/>
        </w:rPr>
      </w:pPr>
      <w:r>
        <w:rPr>
          <w:rFonts w:ascii="宋体" w:hAnsi="宋体"/>
          <w:b/>
          <w:color w:val="auto"/>
          <w:sz w:val="28"/>
          <w:szCs w:val="28"/>
          <w:lang w:val="en-GB"/>
        </w:rPr>
        <w:br w:type="page"/>
      </w:r>
      <w:bookmarkEnd w:id="77"/>
      <w:bookmarkEnd w:id="78"/>
      <w:bookmarkEnd w:id="79"/>
      <w:bookmarkEnd w:id="80"/>
      <w:bookmarkEnd w:id="81"/>
      <w:bookmarkEnd w:id="82"/>
      <w:bookmarkEnd w:id="83"/>
      <w:bookmarkEnd w:id="84"/>
      <w:r>
        <w:rPr>
          <w:rFonts w:hint="eastAsia" w:ascii="仿宋_GB2312" w:hAnsi="仿宋_GB2312" w:eastAsia="仿宋_GB2312" w:cs="仿宋_GB2312"/>
          <w:b/>
          <w:color w:val="auto"/>
          <w:sz w:val="28"/>
          <w:szCs w:val="28"/>
          <w:lang w:val="en-GB"/>
        </w:rPr>
        <w:t>格式</w:t>
      </w:r>
      <w:r>
        <w:rPr>
          <w:rFonts w:hint="eastAsia" w:ascii="仿宋_GB2312" w:hAnsi="仿宋_GB2312" w:eastAsia="仿宋_GB2312" w:cs="仿宋_GB2312"/>
          <w:b/>
          <w:color w:val="auto"/>
          <w:sz w:val="28"/>
          <w:szCs w:val="28"/>
        </w:rPr>
        <w:t>9</w:t>
      </w:r>
      <w:r>
        <w:rPr>
          <w:rFonts w:hint="eastAsia" w:ascii="仿宋_GB2312" w:hAnsi="仿宋_GB2312" w:eastAsia="仿宋_GB2312" w:cs="仿宋_GB2312"/>
          <w:b/>
          <w:color w:val="auto"/>
          <w:sz w:val="28"/>
          <w:szCs w:val="28"/>
          <w:lang w:val="en-GB"/>
        </w:rPr>
        <w:t xml:space="preserve">  声明函</w:t>
      </w:r>
    </w:p>
    <w:p>
      <w:pPr>
        <w:wordWrap w:val="0"/>
        <w:spacing w:line="360" w:lineRule="auto"/>
        <w:rPr>
          <w:rFonts w:ascii="仿宋_GB2312" w:hAnsi="仿宋_GB2312" w:eastAsia="仿宋_GB2312" w:cs="仿宋_GB2312"/>
          <w:b/>
          <w:bCs/>
          <w:color w:val="auto"/>
          <w:sz w:val="28"/>
          <w:szCs w:val="28"/>
        </w:rPr>
      </w:pPr>
    </w:p>
    <w:p>
      <w:pPr>
        <w:wordWrap w:val="0"/>
        <w:spacing w:line="360" w:lineRule="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广东省卫生健康宣传教育中心： </w:t>
      </w:r>
    </w:p>
    <w:p>
      <w:pPr>
        <w:spacing w:line="360" w:lineRule="auto"/>
        <w:rPr>
          <w:rFonts w:ascii="仿宋_GB2312" w:hAnsi="仿宋_GB2312" w:eastAsia="仿宋_GB2312" w:cs="仿宋_GB2312"/>
          <w:b/>
          <w:bCs/>
          <w:color w:val="auto"/>
          <w:sz w:val="28"/>
          <w:szCs w:val="28"/>
        </w:rPr>
      </w:pPr>
    </w:p>
    <w:p>
      <w:pPr>
        <w:ind w:firstLine="560" w:firstLineChars="20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关于贵公司年月日发布的</w:t>
      </w:r>
      <w:r>
        <w:rPr>
          <w:rFonts w:hint="eastAsia" w:ascii="仿宋_GB2312" w:hAnsi="仿宋_GB2312" w:eastAsia="仿宋_GB2312" w:cs="仿宋_GB2312"/>
          <w:color w:val="auto"/>
          <w:sz w:val="28"/>
          <w:szCs w:val="28"/>
          <w:u w:val="single"/>
        </w:rPr>
        <w:t>广东省卫生健康宣传教育中心家庭健康包</w:t>
      </w:r>
      <w:r>
        <w:rPr>
          <w:rFonts w:hint="eastAsia" w:ascii="仿宋_GB2312" w:hAnsi="仿宋_GB2312" w:eastAsia="仿宋_GB2312" w:cs="仿宋_GB2312"/>
          <w:bCs/>
          <w:color w:val="auto"/>
          <w:sz w:val="28"/>
          <w:szCs w:val="28"/>
        </w:rPr>
        <w:t>项目（项目编号：</w:t>
      </w:r>
      <w:r>
        <w:rPr>
          <w:rFonts w:hint="eastAsia" w:ascii="仿宋_GB2312" w:hAnsi="仿宋_GB2312" w:eastAsia="仿宋_GB2312" w:cs="仿宋_GB2312"/>
          <w:b/>
          <w:bCs/>
          <w:color w:val="auto"/>
          <w:sz w:val="28"/>
          <w:szCs w:val="28"/>
        </w:rPr>
        <w:t>N20220</w:t>
      </w:r>
      <w:r>
        <w:rPr>
          <w:rFonts w:hint="eastAsia" w:ascii="仿宋_GB2312" w:hAnsi="仿宋_GB2312" w:eastAsia="仿宋_GB2312" w:cs="仿宋_GB2312"/>
          <w:b/>
          <w:bCs/>
          <w:color w:val="auto"/>
          <w:sz w:val="28"/>
          <w:szCs w:val="28"/>
          <w:lang w:val="en-US" w:eastAsia="zh-CN"/>
        </w:rPr>
        <w:t>411</w:t>
      </w:r>
      <w:r>
        <w:rPr>
          <w:rFonts w:hint="eastAsia" w:ascii="仿宋_GB2312" w:hAnsi="仿宋_GB2312" w:eastAsia="仿宋_GB2312" w:cs="仿宋_GB2312"/>
          <w:bCs/>
          <w:color w:val="auto"/>
          <w:sz w:val="28"/>
          <w:szCs w:val="28"/>
        </w:rPr>
        <w:t>）的采购公告，本公司（企业）愿意参加报价，并声明：</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本公司（企业）符合《政府采购法》第二十二条规定；具有履行本项目合同所必需的能力；在参加政府采购活动前三年内，在经营活动中没有重大违法记录；</w:t>
      </w:r>
      <w:r>
        <w:rPr>
          <w:rFonts w:hint="eastAsia" w:ascii="仿宋_GB2312" w:hAnsi="仿宋_GB2312" w:eastAsia="仿宋_GB2312" w:cs="仿宋_GB2312"/>
          <w:color w:val="auto"/>
          <w:sz w:val="28"/>
          <w:szCs w:val="28"/>
        </w:rPr>
        <w:t>符合法律、行政法规规定的其他条件</w:t>
      </w:r>
      <w:r>
        <w:rPr>
          <w:rFonts w:hint="eastAsia" w:ascii="仿宋_GB2312" w:hAnsi="仿宋_GB2312" w:eastAsia="仿宋_GB2312" w:cs="仿宋_GB2312"/>
          <w:bCs/>
          <w:color w:val="auto"/>
          <w:sz w:val="28"/>
          <w:szCs w:val="28"/>
        </w:rPr>
        <w:t>。</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本公司并承诺在本次采购活动中，如有违法、违规、弄虚作假行为，所造成的损失、不良后果及法律责任，一律由我公司（企业）承担。 </w:t>
      </w:r>
    </w:p>
    <w:p>
      <w:pPr>
        <w:spacing w:line="360" w:lineRule="auto"/>
        <w:ind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特此声明！ </w:t>
      </w: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firstLine="548" w:firstLineChars="196"/>
        <w:rPr>
          <w:rFonts w:ascii="仿宋_GB2312" w:hAnsi="仿宋_GB2312" w:eastAsia="仿宋_GB2312" w:cs="仿宋_GB2312"/>
          <w:bCs/>
          <w:color w:val="auto"/>
          <w:sz w:val="28"/>
          <w:szCs w:val="28"/>
        </w:rPr>
      </w:pPr>
    </w:p>
    <w:p>
      <w:pPr>
        <w:spacing w:line="360" w:lineRule="auto"/>
        <w:ind w:left="4570" w:firstLine="548" w:firstLineChars="196"/>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企业名称（单位盖章）：</w:t>
      </w:r>
    </w:p>
    <w:p>
      <w:pPr>
        <w:spacing w:line="360" w:lineRule="auto"/>
        <w:ind w:left="4570" w:firstLine="548" w:firstLineChars="196"/>
        <w:rPr>
          <w:rFonts w:ascii="仿宋_GB2312" w:hAnsi="仿宋_GB2312" w:eastAsia="仿宋_GB2312" w:cs="仿宋_GB2312"/>
          <w:bCs/>
          <w:color w:val="auto"/>
          <w:sz w:val="28"/>
          <w:szCs w:val="28"/>
        </w:rPr>
      </w:pPr>
    </w:p>
    <w:p>
      <w:pPr>
        <w:spacing w:line="360" w:lineRule="auto"/>
        <w:ind w:left="4620" w:firstLine="42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日期：</w:t>
      </w:r>
    </w:p>
    <w:p>
      <w:pPr>
        <w:spacing w:after="312" w:afterLines="100"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br w:type="page"/>
      </w:r>
    </w:p>
    <w:p>
      <w:pPr>
        <w:ind w:firstLine="344"/>
        <w:jc w:val="center"/>
        <w:rPr>
          <w:color w:val="auto"/>
        </w:rPr>
      </w:pPr>
      <w:r>
        <w:rPr>
          <w:rFonts w:hint="eastAsia" w:ascii="方正小标宋简体" w:hAnsi="方正小标宋简体" w:eastAsia="方正小标宋简体" w:cs="方正小标宋简体"/>
          <w:color w:val="auto"/>
          <w:sz w:val="28"/>
          <w:szCs w:val="28"/>
        </w:rPr>
        <w:t>第五部分 合同样本</w:t>
      </w:r>
    </w:p>
    <w:p>
      <w:pPr>
        <w:spacing w:line="360" w:lineRule="auto"/>
        <w:rPr>
          <w:rFonts w:ascii="宋体"/>
          <w:color w:val="auto"/>
          <w:szCs w:val="21"/>
        </w:rPr>
      </w:pPr>
      <w:r>
        <w:rPr>
          <w:rFonts w:hint="eastAsia" w:ascii="宋体"/>
          <w:color w:val="auto"/>
          <w:szCs w:val="21"/>
        </w:rPr>
        <w:t>注：本合同仅为合同的参考文本，合同签订双方可根据项目的具体要求进行修订。</w:t>
      </w:r>
    </w:p>
    <w:p>
      <w:pPr>
        <w:pStyle w:val="2"/>
        <w:ind w:firstLine="344"/>
        <w:rPr>
          <w:color w:val="auto"/>
        </w:rPr>
      </w:pP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广东省卫生健康宣传教育中心</w:t>
      </w:r>
    </w:p>
    <w:p>
      <w:pPr>
        <w:spacing w:line="360" w:lineRule="auto"/>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家庭健康包合同（样本）</w:t>
      </w:r>
    </w:p>
    <w:p>
      <w:pPr>
        <w:pStyle w:val="2"/>
        <w:ind w:firstLine="344"/>
        <w:rPr>
          <w:color w:val="auto"/>
        </w:rPr>
      </w:pPr>
    </w:p>
    <w:p>
      <w:pPr>
        <w:spacing w:line="360" w:lineRule="auto"/>
        <w:rPr>
          <w:rFonts w:ascii="宋体"/>
          <w:color w:val="auto"/>
          <w:szCs w:val="21"/>
        </w:rPr>
      </w:pPr>
      <w:r>
        <w:rPr>
          <w:rFonts w:hint="eastAsia" w:ascii="宋体"/>
          <w:color w:val="auto"/>
          <w:szCs w:val="21"/>
        </w:rPr>
        <w:t xml:space="preserve">甲方：广东省卫生健康宣传教育中心                                  合同号：                          </w:t>
      </w:r>
    </w:p>
    <w:p>
      <w:pPr>
        <w:spacing w:line="360" w:lineRule="auto"/>
        <w:rPr>
          <w:rFonts w:ascii="宋体"/>
          <w:color w:val="auto"/>
          <w:szCs w:val="21"/>
        </w:rPr>
      </w:pPr>
      <w:r>
        <w:rPr>
          <w:rFonts w:hint="eastAsia" w:ascii="宋体"/>
          <w:color w:val="auto"/>
          <w:szCs w:val="21"/>
        </w:rPr>
        <w:t>乙方：                                                            日  期：</w:t>
      </w:r>
    </w:p>
    <w:p>
      <w:pPr>
        <w:spacing w:line="360" w:lineRule="auto"/>
        <w:ind w:firstLine="420" w:firstLineChars="200"/>
        <w:rPr>
          <w:color w:val="auto"/>
        </w:rPr>
      </w:pPr>
      <w:r>
        <w:rPr>
          <w:rFonts w:hint="eastAsia" w:ascii="宋体" w:hAnsi="宋体"/>
          <w:color w:val="auto"/>
          <w:szCs w:val="21"/>
        </w:rPr>
        <w:t>根据《中华人民共和国民法典》、《中华人民共和国政府采购法》及采购（项目编号：</w:t>
      </w:r>
      <w:r>
        <w:rPr>
          <w:rFonts w:hint="eastAsia" w:ascii="宋体" w:hAnsi="宋体"/>
          <w:color w:val="auto"/>
          <w:szCs w:val="21"/>
          <w:u w:val="single"/>
        </w:rPr>
        <w:t xml:space="preserve">         </w:t>
      </w:r>
      <w:r>
        <w:rPr>
          <w:rFonts w:hint="eastAsia" w:ascii="宋体" w:hAnsi="宋体"/>
          <w:color w:val="auto"/>
          <w:szCs w:val="21"/>
        </w:rPr>
        <w:t>）招标文件的要求和招标结果，经甲乙双方协商一致，签订本合同：</w:t>
      </w:r>
    </w:p>
    <w:p>
      <w:pPr>
        <w:spacing w:line="360" w:lineRule="auto"/>
        <w:rPr>
          <w:rFonts w:ascii="宋体"/>
          <w:color w:val="auto"/>
          <w:szCs w:val="21"/>
        </w:rPr>
      </w:pPr>
      <w:r>
        <w:rPr>
          <w:rFonts w:hint="eastAsia" w:ascii="宋体"/>
          <w:b/>
          <w:bCs/>
          <w:color w:val="auto"/>
          <w:szCs w:val="21"/>
        </w:rPr>
        <w:t>一、产品名称、数量、价格（单位：RMB）</w:t>
      </w:r>
    </w:p>
    <w:tbl>
      <w:tblPr>
        <w:tblStyle w:val="14"/>
        <w:tblW w:w="9473" w:type="dxa"/>
        <w:tblInd w:w="108" w:type="dxa"/>
        <w:tblLayout w:type="fixed"/>
        <w:tblCellMar>
          <w:top w:w="0" w:type="dxa"/>
          <w:left w:w="108" w:type="dxa"/>
          <w:bottom w:w="0" w:type="dxa"/>
          <w:right w:w="108" w:type="dxa"/>
        </w:tblCellMar>
      </w:tblPr>
      <w:tblGrid>
        <w:gridCol w:w="2728"/>
        <w:gridCol w:w="684"/>
        <w:gridCol w:w="1086"/>
        <w:gridCol w:w="1545"/>
        <w:gridCol w:w="1287"/>
        <w:gridCol w:w="2143"/>
      </w:tblGrid>
      <w:tr>
        <w:tblPrEx>
          <w:tblLayout w:type="fixed"/>
          <w:tblCellMar>
            <w:top w:w="0" w:type="dxa"/>
            <w:left w:w="108" w:type="dxa"/>
            <w:bottom w:w="0" w:type="dxa"/>
            <w:right w:w="108" w:type="dxa"/>
          </w:tblCellMar>
        </w:tblPrEx>
        <w:trPr>
          <w:trHeight w:val="317" w:hRule="atLeast"/>
        </w:trPr>
        <w:tc>
          <w:tcPr>
            <w:tcW w:w="27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名  称</w:t>
            </w:r>
          </w:p>
        </w:tc>
        <w:tc>
          <w:tcPr>
            <w:tcW w:w="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数量</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r>
              <w:rPr>
                <w:rFonts w:hint="eastAsia" w:ascii="宋体"/>
                <w:color w:val="auto"/>
                <w:szCs w:val="21"/>
              </w:rPr>
              <w:t>单价（元）</w:t>
            </w: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auto"/>
              <w:ind w:left="437" w:hanging="436" w:hangingChars="208"/>
              <w:rPr>
                <w:rFonts w:ascii="宋体"/>
                <w:color w:val="auto"/>
                <w:szCs w:val="21"/>
              </w:rPr>
            </w:pPr>
            <w:r>
              <w:rPr>
                <w:rFonts w:hint="eastAsia" w:ascii="宋体"/>
                <w:color w:val="auto"/>
                <w:szCs w:val="21"/>
              </w:rPr>
              <w:t>总价(元)</w:t>
            </w:r>
          </w:p>
        </w:tc>
        <w:tc>
          <w:tcPr>
            <w:tcW w:w="2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color w:val="auto"/>
                <w:szCs w:val="21"/>
              </w:rPr>
            </w:pPr>
            <w:r>
              <w:rPr>
                <w:rFonts w:hint="eastAsia" w:ascii="宋体"/>
                <w:color w:val="auto"/>
                <w:szCs w:val="21"/>
              </w:rPr>
              <w:t>备 注</w:t>
            </w:r>
          </w:p>
        </w:tc>
      </w:tr>
      <w:tr>
        <w:tblPrEx>
          <w:tblLayout w:type="fixed"/>
          <w:tblCellMar>
            <w:top w:w="0" w:type="dxa"/>
            <w:left w:w="108" w:type="dxa"/>
            <w:bottom w:w="0" w:type="dxa"/>
            <w:right w:w="108" w:type="dxa"/>
          </w:tblCellMar>
        </w:tblPrEx>
        <w:trPr>
          <w:trHeight w:val="212" w:hRule="atLeast"/>
        </w:trPr>
        <w:tc>
          <w:tcPr>
            <w:tcW w:w="27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p>
        </w:tc>
        <w:tc>
          <w:tcPr>
            <w:tcW w:w="1287" w:type="dxa"/>
            <w:tcBorders>
              <w:top w:val="single" w:color="auto" w:sz="4" w:space="0"/>
              <w:left w:val="single" w:color="auto" w:sz="4" w:space="0"/>
              <w:bottom w:val="single" w:color="auto" w:sz="4" w:space="0"/>
              <w:right w:val="single" w:color="auto" w:sz="4" w:space="0"/>
            </w:tcBorders>
            <w:vAlign w:val="center"/>
          </w:tcPr>
          <w:p>
            <w:pPr>
              <w:spacing w:line="360" w:lineRule="auto"/>
              <w:ind w:left="437" w:hanging="436" w:hangingChars="208"/>
              <w:rPr>
                <w:rFonts w:ascii="宋体"/>
                <w:color w:val="auto"/>
                <w:szCs w:val="21"/>
              </w:rPr>
            </w:pPr>
          </w:p>
        </w:tc>
        <w:tc>
          <w:tcPr>
            <w:tcW w:w="2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color w:val="auto"/>
                <w:szCs w:val="21"/>
              </w:rPr>
            </w:pPr>
            <w:r>
              <w:rPr>
                <w:rFonts w:hint="eastAsia" w:ascii="宋体" w:hAnsi="宋体"/>
                <w:color w:val="auto"/>
                <w:szCs w:val="21"/>
              </w:rPr>
              <w:t>总价含税含运费</w:t>
            </w:r>
          </w:p>
        </w:tc>
      </w:tr>
      <w:tr>
        <w:tblPrEx>
          <w:tblLayout w:type="fixed"/>
          <w:tblCellMar>
            <w:top w:w="0" w:type="dxa"/>
            <w:left w:w="108" w:type="dxa"/>
            <w:bottom w:w="0" w:type="dxa"/>
            <w:right w:w="108" w:type="dxa"/>
          </w:tblCellMar>
        </w:tblPrEx>
        <w:trPr>
          <w:cantSplit/>
          <w:trHeight w:val="261" w:hRule="atLeast"/>
        </w:trPr>
        <w:tc>
          <w:tcPr>
            <w:tcW w:w="60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合计：人民币金额(大写)：</w:t>
            </w:r>
          </w:p>
        </w:tc>
        <w:tc>
          <w:tcPr>
            <w:tcW w:w="34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zCs w:val="21"/>
              </w:rPr>
            </w:pPr>
            <w:r>
              <w:rPr>
                <w:rFonts w:hint="eastAsia" w:ascii="宋体"/>
                <w:color w:val="auto"/>
                <w:szCs w:val="21"/>
              </w:rPr>
              <w:t>小写：</w:t>
            </w:r>
          </w:p>
        </w:tc>
      </w:tr>
    </w:tbl>
    <w:p>
      <w:pPr>
        <w:numPr>
          <w:ilvl w:val="0"/>
          <w:numId w:val="7"/>
        </w:numPr>
        <w:spacing w:line="360" w:lineRule="auto"/>
        <w:ind w:left="2108" w:hanging="2108" w:hangingChars="1000"/>
        <w:rPr>
          <w:b/>
          <w:bCs/>
          <w:color w:val="auto"/>
        </w:rPr>
      </w:pPr>
      <w:r>
        <w:rPr>
          <w:rFonts w:hint="eastAsia" w:ascii="宋体"/>
          <w:b/>
          <w:bCs/>
          <w:color w:val="auto"/>
          <w:szCs w:val="21"/>
        </w:rPr>
        <w:t>家庭健康包产品组成及产品参数</w:t>
      </w:r>
    </w:p>
    <w:p>
      <w:pPr>
        <w:pStyle w:val="2"/>
        <w:spacing w:after="0" w:line="360" w:lineRule="auto"/>
        <w:ind w:left="0" w:leftChars="0" w:firstLine="343" w:firstLineChars="0"/>
        <w:rPr>
          <w:rFonts w:hAnsi="宋体"/>
          <w:color w:val="auto"/>
          <w:sz w:val="21"/>
          <w:szCs w:val="21"/>
        </w:rPr>
      </w:pPr>
      <w:r>
        <w:rPr>
          <w:rFonts w:hint="eastAsia" w:hAnsi="宋体"/>
          <w:color w:val="auto"/>
          <w:sz w:val="21"/>
          <w:szCs w:val="21"/>
          <w:highlight w:val="none"/>
        </w:rPr>
        <w:t>家庭健康包包括：一根水银体温计（带说明：手持体温计玻璃端水平读取）、1把腰围尺：（带说明：</w:t>
      </w:r>
      <w:r>
        <w:rPr>
          <w:rFonts w:hint="eastAsia" w:hAnsi="宋体"/>
          <w:color w:val="auto"/>
          <w:sz w:val="21"/>
          <w:szCs w:val="21"/>
          <w:highlight w:val="none"/>
          <w:lang w:val="en-US" w:eastAsia="zh-CN"/>
        </w:rPr>
        <w:t>男女腰围的</w:t>
      </w:r>
      <w:r>
        <w:rPr>
          <w:rFonts w:hAnsi="宋体"/>
          <w:color w:val="auto"/>
          <w:sz w:val="21"/>
          <w:szCs w:val="21"/>
          <w:highlight w:val="none"/>
        </w:rPr>
        <w:t>正常范围。</w:t>
      </w:r>
      <w:r>
        <w:rPr>
          <w:rFonts w:hint="eastAsia" w:hAnsi="宋体"/>
          <w:color w:val="auto"/>
          <w:sz w:val="21"/>
          <w:szCs w:val="21"/>
          <w:highlight w:val="none"/>
        </w:rPr>
        <w:t>）、1个限盐勺（带说明：盐不能超过5g）、1个限油壶（玻璃油壶）（带说明：油不超过30g）、1张“及早戒烟、限量饮酒”的冰箱贴，1张“12320—全国统一的免费卫生热线电话号码”的冰箱贴，1瓶6ml风油精（带说明：如何清除积水、预防蚊子叮咬）、10个医用外科口罩（带说明：如何正确佩戴口罩）、1瓶碘伏（100ml）、1盒创口贴（5片）、一瓶免洗洗手液（100ml）（带说明：七步洗手法）、1份使用说明书（内容为健康包里工具的使用说明）、1个包装或容器（装上述有关物件,包装上印刷“家庭健康包”、制作单位：广东省卫生健康宣传教育中心）。于合同签订后30天内分别发送600套到广东省卫生健康宣传教育中心（地址：广州市天河区黄埔大道西463号）、其余14400个送到粤东西北</w:t>
      </w:r>
    </w:p>
    <w:p>
      <w:pPr>
        <w:pStyle w:val="2"/>
        <w:spacing w:after="0" w:line="360" w:lineRule="auto"/>
        <w:ind w:left="0" w:leftChars="0" w:firstLine="0" w:firstLineChars="0"/>
        <w:rPr>
          <w:rFonts w:hAnsi="宋体"/>
          <w:color w:val="auto"/>
          <w:sz w:val="21"/>
          <w:szCs w:val="21"/>
        </w:rPr>
      </w:pPr>
      <w:r>
        <w:rPr>
          <w:rFonts w:hint="eastAsia" w:hAnsi="宋体"/>
          <w:color w:val="auto"/>
          <w:sz w:val="21"/>
          <w:szCs w:val="21"/>
          <w:highlight w:val="none"/>
          <w:lang w:val="en-US" w:eastAsia="zh-CN"/>
        </w:rPr>
        <w:t>共4</w:t>
      </w:r>
      <w:r>
        <w:rPr>
          <w:rFonts w:hint="eastAsia" w:hAnsi="宋体"/>
          <w:color w:val="auto"/>
          <w:sz w:val="21"/>
          <w:szCs w:val="21"/>
          <w:highlight w:val="none"/>
        </w:rPr>
        <w:t>个点，每个点</w:t>
      </w:r>
      <w:r>
        <w:rPr>
          <w:rFonts w:hint="eastAsia" w:hAnsi="宋体"/>
          <w:color w:val="auto"/>
          <w:sz w:val="21"/>
          <w:szCs w:val="21"/>
          <w:highlight w:val="none"/>
          <w:lang w:val="en-US" w:eastAsia="zh-CN"/>
        </w:rPr>
        <w:t>36</w:t>
      </w:r>
      <w:r>
        <w:rPr>
          <w:rFonts w:hint="eastAsia" w:hAnsi="宋体"/>
          <w:color w:val="auto"/>
          <w:sz w:val="21"/>
          <w:szCs w:val="21"/>
          <w:highlight w:val="none"/>
        </w:rPr>
        <w:t>00个，具体地点待定。</w:t>
      </w:r>
    </w:p>
    <w:tbl>
      <w:tblPr>
        <w:tblStyle w:val="1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36" w:type="dxa"/>
            <w:vAlign w:val="center"/>
          </w:tcPr>
          <w:p>
            <w:pPr>
              <w:spacing w:line="360" w:lineRule="auto"/>
              <w:jc w:val="center"/>
              <w:rPr>
                <w:rFonts w:ascii="宋体"/>
                <w:color w:val="auto"/>
                <w:szCs w:val="21"/>
              </w:rPr>
            </w:pPr>
            <w:r>
              <w:rPr>
                <w:rFonts w:hint="eastAsia" w:ascii="宋体"/>
                <w:color w:val="auto"/>
                <w:szCs w:val="21"/>
              </w:rPr>
              <w:t>产品名称</w:t>
            </w:r>
          </w:p>
        </w:tc>
        <w:tc>
          <w:tcPr>
            <w:tcW w:w="7424" w:type="dxa"/>
            <w:vAlign w:val="center"/>
          </w:tcPr>
          <w:p>
            <w:pPr>
              <w:spacing w:line="360" w:lineRule="auto"/>
              <w:ind w:firstLine="3780" w:firstLineChars="1800"/>
              <w:rPr>
                <w:rFonts w:ascii="宋体" w:eastAsia="宋体"/>
                <w:color w:val="auto"/>
                <w:szCs w:val="21"/>
              </w:rPr>
            </w:pPr>
            <w:r>
              <w:rPr>
                <w:rFonts w:hint="eastAsia" w:ascii="宋体"/>
                <w:color w:val="auto"/>
                <w:szCs w:val="21"/>
              </w:rPr>
              <w:t>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水银体温计</w:t>
            </w:r>
          </w:p>
        </w:tc>
        <w:tc>
          <w:tcPr>
            <w:tcW w:w="742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1.品牌：</w:t>
            </w:r>
          </w:p>
          <w:p>
            <w:pPr>
              <w:spacing w:line="360" w:lineRule="auto"/>
              <w:rPr>
                <w:rFonts w:ascii="宋体" w:hAnsi="宋体" w:eastAsia="宋体" w:cs="宋体"/>
                <w:color w:val="auto"/>
                <w:szCs w:val="21"/>
              </w:rPr>
            </w:pPr>
            <w:r>
              <w:rPr>
                <w:rFonts w:hint="eastAsia" w:ascii="宋体" w:hAnsi="宋体" w:eastAsia="宋体" w:cs="宋体"/>
                <w:bCs/>
                <w:color w:val="auto"/>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腰围尺</w:t>
            </w:r>
          </w:p>
        </w:tc>
        <w:tc>
          <w:tcPr>
            <w:tcW w:w="7424" w:type="dxa"/>
            <w:vAlign w:val="center"/>
          </w:tcPr>
          <w:p>
            <w:pPr>
              <w:spacing w:line="360" w:lineRule="auto"/>
              <w:rPr>
                <w:rFonts w:ascii="宋体" w:hAnsi="宋体" w:eastAsia="宋体" w:cs="宋体"/>
                <w:bCs/>
                <w:color w:val="auto"/>
                <w:szCs w:val="21"/>
              </w:rPr>
            </w:pPr>
            <w:r>
              <w:rPr>
                <w:rFonts w:hint="eastAsia" w:ascii="宋体" w:hAnsi="宋体" w:eastAsia="宋体" w:cs="宋体"/>
                <w:bCs/>
                <w:color w:val="auto"/>
                <w:szCs w:val="21"/>
              </w:rPr>
              <w:t xml:space="preserve">1.品牌： </w:t>
            </w:r>
          </w:p>
          <w:p>
            <w:pPr>
              <w:spacing w:line="360" w:lineRule="auto"/>
              <w:rPr>
                <w:rFonts w:ascii="宋体" w:hAnsi="宋体" w:eastAsia="宋体" w:cs="宋体"/>
                <w:color w:val="auto"/>
                <w:szCs w:val="21"/>
              </w:rPr>
            </w:pPr>
            <w:r>
              <w:rPr>
                <w:rFonts w:hint="eastAsia" w:ascii="宋体" w:hAnsi="宋体" w:eastAsia="宋体" w:cs="宋体"/>
                <w:bCs/>
                <w:color w:val="auto"/>
                <w:szCs w:val="21"/>
              </w:rPr>
              <w:t xml:space="preserve">2.型号：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限盐勺</w:t>
            </w:r>
          </w:p>
        </w:tc>
        <w:tc>
          <w:tcPr>
            <w:tcW w:w="7424" w:type="dxa"/>
            <w:vAlign w:val="center"/>
          </w:tcPr>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 xml:space="preserve">1.品牌： </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 xml:space="preserve">2.型号：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限油壶（玻璃油壶）</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highlight w:val="none"/>
              </w:rPr>
              <w:t>“及早戒烟、限量饮酒”冰箱贴</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12320</w:t>
            </w:r>
            <w:r>
              <w:rPr>
                <w:rFonts w:hint="eastAsia" w:hAnsi="宋体"/>
                <w:color w:val="auto"/>
                <w:sz w:val="21"/>
                <w:szCs w:val="21"/>
                <w:highlight w:val="none"/>
              </w:rPr>
              <w:t>全国统一的免费卫生热线电话号码</w:t>
            </w:r>
            <w:r>
              <w:rPr>
                <w:rFonts w:hint="eastAsia" w:hAnsi="宋体"/>
                <w:color w:val="auto"/>
                <w:sz w:val="21"/>
                <w:szCs w:val="21"/>
                <w:highlight w:val="none"/>
                <w:lang w:eastAsia="zh-CN"/>
              </w:rPr>
              <w:t>”</w:t>
            </w:r>
            <w:r>
              <w:rPr>
                <w:rFonts w:hint="eastAsia" w:ascii="宋体" w:hAnsi="宋体"/>
                <w:color w:val="auto"/>
                <w:szCs w:val="21"/>
              </w:rPr>
              <w:t>冰箱贴</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rPr>
              <w:t>风油精</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2236" w:type="dxa"/>
            <w:vAlign w:val="center"/>
          </w:tcPr>
          <w:p>
            <w:pPr>
              <w:spacing w:line="360" w:lineRule="auto"/>
              <w:jc w:val="center"/>
              <w:rPr>
                <w:rFonts w:ascii="宋体" w:hAnsi="宋体" w:eastAsia="宋体" w:cs="宋体"/>
                <w:color w:val="auto"/>
                <w:szCs w:val="21"/>
              </w:rPr>
            </w:pPr>
            <w:r>
              <w:rPr>
                <w:rFonts w:hint="eastAsia" w:ascii="宋体" w:hAnsi="宋体"/>
                <w:color w:val="auto"/>
                <w:szCs w:val="21"/>
              </w:rPr>
              <w:t>医用外科口罩</w:t>
            </w:r>
          </w:p>
        </w:tc>
        <w:tc>
          <w:tcPr>
            <w:tcW w:w="7424" w:type="dxa"/>
            <w:vAlign w:val="center"/>
          </w:tcPr>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rPr>
              <w:t>碘伏</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rPr>
              <w:t>创口贴</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rPr>
              <w:t>免洗洗手液</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236" w:type="dxa"/>
            <w:vAlign w:val="center"/>
          </w:tcPr>
          <w:p>
            <w:pPr>
              <w:spacing w:line="360" w:lineRule="auto"/>
              <w:jc w:val="center"/>
              <w:rPr>
                <w:rFonts w:ascii="宋体" w:hAnsi="宋体"/>
                <w:color w:val="auto"/>
                <w:szCs w:val="21"/>
              </w:rPr>
            </w:pPr>
            <w:r>
              <w:rPr>
                <w:rFonts w:hint="eastAsia" w:ascii="宋体" w:hAnsi="宋体"/>
                <w:color w:val="auto"/>
                <w:szCs w:val="21"/>
              </w:rPr>
              <w:t>包装或容器</w:t>
            </w:r>
          </w:p>
          <w:p>
            <w:pPr>
              <w:spacing w:line="360" w:lineRule="auto"/>
              <w:jc w:val="center"/>
              <w:rPr>
                <w:rFonts w:ascii="宋体" w:hAnsi="宋体"/>
                <w:color w:val="auto"/>
                <w:szCs w:val="21"/>
              </w:rPr>
            </w:pPr>
            <w:r>
              <w:rPr>
                <w:rFonts w:hint="eastAsia" w:ascii="宋体" w:hAnsi="宋体"/>
                <w:color w:val="auto"/>
                <w:szCs w:val="21"/>
              </w:rPr>
              <w:t>（装上述有关物件）</w:t>
            </w:r>
          </w:p>
        </w:tc>
        <w:tc>
          <w:tcPr>
            <w:tcW w:w="7424" w:type="dxa"/>
            <w:vAlign w:val="center"/>
          </w:tcPr>
          <w:p>
            <w:pPr>
              <w:widowControl/>
              <w:spacing w:line="360" w:lineRule="auto"/>
              <w:rPr>
                <w:rFonts w:ascii="宋体" w:hAnsi="宋体" w:eastAsia="宋体" w:cs="宋体"/>
                <w:color w:val="auto"/>
                <w:szCs w:val="21"/>
              </w:rPr>
            </w:pPr>
            <w:r>
              <w:rPr>
                <w:rFonts w:hint="eastAsia" w:ascii="宋体" w:hAnsi="宋体" w:eastAsia="宋体" w:cs="宋体"/>
                <w:color w:val="auto"/>
                <w:szCs w:val="21"/>
              </w:rPr>
              <w:t>1.品牌：</w:t>
            </w:r>
          </w:p>
          <w:p>
            <w:pPr>
              <w:pStyle w:val="2"/>
              <w:spacing w:after="0" w:line="360" w:lineRule="auto"/>
              <w:ind w:left="0" w:leftChars="0" w:firstLine="0" w:firstLineChars="0"/>
              <w:rPr>
                <w:rFonts w:hAnsi="宋体" w:eastAsia="宋体" w:cs="宋体"/>
                <w:color w:val="auto"/>
                <w:sz w:val="21"/>
                <w:szCs w:val="21"/>
              </w:rPr>
            </w:pPr>
            <w:r>
              <w:rPr>
                <w:rFonts w:hint="eastAsia" w:hAnsi="宋体" w:eastAsia="宋体" w:cs="宋体"/>
                <w:color w:val="auto"/>
                <w:sz w:val="21"/>
                <w:szCs w:val="21"/>
              </w:rPr>
              <w:t>2.型号：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2236" w:type="dxa"/>
            <w:vAlign w:val="center"/>
          </w:tcPr>
          <w:p>
            <w:pPr>
              <w:spacing w:line="360" w:lineRule="auto"/>
              <w:jc w:val="center"/>
              <w:rPr>
                <w:rFonts w:ascii="宋体" w:hAnsi="宋体"/>
                <w:color w:val="auto"/>
                <w:szCs w:val="21"/>
              </w:rPr>
            </w:pPr>
          </w:p>
        </w:tc>
        <w:tc>
          <w:tcPr>
            <w:tcW w:w="7424" w:type="dxa"/>
            <w:vAlign w:val="center"/>
          </w:tcPr>
          <w:p>
            <w:pPr>
              <w:pStyle w:val="2"/>
              <w:spacing w:after="0" w:line="360" w:lineRule="auto"/>
              <w:ind w:left="0" w:leftChars="0" w:firstLine="0" w:firstLineChars="0"/>
              <w:rPr>
                <w:rFonts w:hAnsi="宋体" w:eastAsia="宋体" w:cs="宋体"/>
                <w:color w:val="auto"/>
                <w:sz w:val="21"/>
                <w:szCs w:val="21"/>
              </w:rPr>
            </w:pPr>
          </w:p>
        </w:tc>
      </w:tr>
    </w:tbl>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ascii="宋体"/>
          <w:color w:val="auto"/>
          <w:szCs w:val="21"/>
          <w:u w:val="single"/>
        </w:rPr>
      </w:pPr>
      <w:r>
        <w:rPr>
          <w:rFonts w:hint="eastAsia" w:ascii="宋体" w:hAnsi="宋体" w:eastAsia="宋体" w:cs="宋体"/>
          <w:color w:val="auto"/>
          <w:szCs w:val="21"/>
        </w:rPr>
        <w:t>注：健康工具包中需印刷的，印字位置、内容、颜色，需经双方协商</w:t>
      </w:r>
      <w:r>
        <w:rPr>
          <w:rFonts w:hint="eastAsia" w:ascii="宋体"/>
          <w:color w:val="auto"/>
          <w:szCs w:val="21"/>
        </w:rPr>
        <w:t xml:space="preserve">。 </w:t>
      </w:r>
    </w:p>
    <w:p>
      <w:pPr>
        <w:spacing w:line="360" w:lineRule="auto"/>
        <w:ind w:left="422" w:hanging="422" w:hangingChars="200"/>
        <w:rPr>
          <w:rFonts w:hint="eastAsia" w:ascii="宋体"/>
          <w:b/>
          <w:bCs/>
          <w:color w:val="auto"/>
          <w:szCs w:val="21"/>
        </w:rPr>
      </w:pPr>
    </w:p>
    <w:p>
      <w:pPr>
        <w:spacing w:line="360" w:lineRule="auto"/>
        <w:ind w:left="422" w:hanging="422" w:hangingChars="200"/>
        <w:rPr>
          <w:rFonts w:ascii="宋体" w:eastAsia="宋体"/>
          <w:color w:val="auto"/>
          <w:szCs w:val="21"/>
        </w:rPr>
      </w:pPr>
      <w:r>
        <w:rPr>
          <w:rFonts w:hint="eastAsia" w:ascii="宋体"/>
          <w:b/>
          <w:bCs/>
          <w:color w:val="auto"/>
          <w:szCs w:val="21"/>
        </w:rPr>
        <w:t>三、付款方式（具体以签订合同为准</w:t>
      </w:r>
      <w:r>
        <w:rPr>
          <w:rFonts w:hint="eastAsia" w:ascii="宋体"/>
          <w:color w:val="auto"/>
          <w:szCs w:val="21"/>
        </w:rPr>
        <w:t>）</w:t>
      </w:r>
    </w:p>
    <w:p>
      <w:pPr>
        <w:spacing w:line="360" w:lineRule="auto"/>
        <w:ind w:firstLine="420" w:firstLineChars="200"/>
        <w:rPr>
          <w:rFonts w:asciiTheme="minorEastAsia" w:hAnsiTheme="minorEastAsia" w:cstheme="minorEastAsia"/>
          <w:color w:val="auto"/>
          <w:szCs w:val="21"/>
        </w:rPr>
      </w:pPr>
      <w:r>
        <w:rPr>
          <w:rFonts w:hint="eastAsia" w:ascii="宋体"/>
          <w:color w:val="auto"/>
          <w:szCs w:val="21"/>
        </w:rPr>
        <w:t>总价款：_______（大写：  ）。</w:t>
      </w:r>
      <w:r>
        <w:rPr>
          <w:rFonts w:hint="eastAsia" w:asciiTheme="minorEastAsia" w:hAnsiTheme="minorEastAsia" w:cstheme="minorEastAsia"/>
          <w:color w:val="auto"/>
          <w:szCs w:val="21"/>
        </w:rPr>
        <w:t xml:space="preserve">合同签订后，乙方以银行转账方式向甲方缴纳合同总额10%的履约保证金后合同生效。甲方在合同生效后5个工作日内支付合同金额的80%，全部货品验收合格且缺陷责任期满后1个月内支付合同金额的20%。合同到期后如无质量问题，甲方无息退还履约保证金。 </w:t>
      </w:r>
    </w:p>
    <w:p>
      <w:pPr>
        <w:spacing w:line="360" w:lineRule="auto"/>
        <w:ind w:firstLine="420" w:firstLineChars="200"/>
        <w:rPr>
          <w:rFonts w:ascii="宋体"/>
          <w:b/>
          <w:color w:val="auto"/>
          <w:szCs w:val="21"/>
        </w:rPr>
      </w:pPr>
      <w:r>
        <w:rPr>
          <w:rFonts w:hint="eastAsia" w:ascii="宋体"/>
          <w:color w:val="auto"/>
          <w:szCs w:val="21"/>
        </w:rPr>
        <w:t>付款帐户:</w:t>
      </w:r>
      <w:r>
        <w:rPr>
          <w:rFonts w:hint="eastAsia" w:ascii="宋体"/>
          <w:b/>
          <w:color w:val="auto"/>
          <w:szCs w:val="21"/>
        </w:rPr>
        <w:t xml:space="preserve"> 开户行：___________________     </w:t>
      </w:r>
    </w:p>
    <w:p>
      <w:pPr>
        <w:spacing w:line="360" w:lineRule="auto"/>
        <w:ind w:firstLine="1476" w:firstLineChars="700"/>
        <w:rPr>
          <w:rFonts w:ascii="宋体" w:eastAsia="宋体"/>
          <w:b/>
          <w:color w:val="auto"/>
          <w:szCs w:val="21"/>
        </w:rPr>
      </w:pPr>
      <w:r>
        <w:rPr>
          <w:rFonts w:hint="eastAsia" w:ascii="宋体"/>
          <w:b/>
          <w:color w:val="auto"/>
          <w:szCs w:val="21"/>
        </w:rPr>
        <w:t xml:space="preserve">户  名：________________ </w:t>
      </w:r>
    </w:p>
    <w:p>
      <w:pPr>
        <w:spacing w:line="360" w:lineRule="auto"/>
        <w:ind w:firstLine="1476" w:firstLineChars="700"/>
        <w:rPr>
          <w:rFonts w:ascii="宋体"/>
          <w:b/>
          <w:color w:val="auto"/>
          <w:szCs w:val="21"/>
        </w:rPr>
      </w:pPr>
      <w:r>
        <w:rPr>
          <w:rFonts w:hint="eastAsia" w:ascii="宋体"/>
          <w:b/>
          <w:color w:val="auto"/>
          <w:szCs w:val="21"/>
        </w:rPr>
        <w:t>账  号：_____________________</w:t>
      </w:r>
    </w:p>
    <w:p>
      <w:pPr>
        <w:spacing w:line="360" w:lineRule="auto"/>
        <w:rPr>
          <w:rFonts w:ascii="宋体" w:eastAsia="宋体"/>
          <w:b/>
          <w:bCs/>
          <w:color w:val="auto"/>
          <w:szCs w:val="21"/>
        </w:rPr>
      </w:pPr>
      <w:r>
        <w:rPr>
          <w:rFonts w:hint="eastAsia" w:ascii="宋体" w:eastAsia="宋体"/>
          <w:b/>
          <w:bCs/>
          <w:color w:val="auto"/>
          <w:szCs w:val="21"/>
        </w:rPr>
        <w:t>四、包装、交货与验收</w:t>
      </w:r>
    </w:p>
    <w:p>
      <w:pPr>
        <w:pStyle w:val="27"/>
        <w:spacing w:line="360" w:lineRule="auto"/>
        <w:ind w:firstLine="420"/>
        <w:rPr>
          <w:rFonts w:ascii="宋体" w:eastAsia="宋体"/>
          <w:color w:val="auto"/>
          <w:sz w:val="21"/>
          <w:szCs w:val="21"/>
        </w:rPr>
      </w:pPr>
      <w:r>
        <w:rPr>
          <w:rFonts w:hint="eastAsia" w:ascii="宋体" w:eastAsia="宋体"/>
          <w:color w:val="auto"/>
          <w:sz w:val="21"/>
          <w:szCs w:val="21"/>
        </w:rPr>
        <w:t>1.家庭健康包的包装应具有良好的防湿、防潮、防雨、防腐及防碰撞的措施。凡由于包装不良造成的损失和由此产生的费用均由乙方承担。</w:t>
      </w:r>
    </w:p>
    <w:p>
      <w:pPr>
        <w:pStyle w:val="27"/>
        <w:spacing w:line="360" w:lineRule="auto"/>
        <w:ind w:left="420" w:leftChars="200" w:firstLine="0" w:firstLineChars="0"/>
        <w:rPr>
          <w:rFonts w:ascii="宋体" w:eastAsia="宋体"/>
          <w:color w:val="auto"/>
          <w:sz w:val="21"/>
          <w:szCs w:val="21"/>
        </w:rPr>
      </w:pPr>
      <w:r>
        <w:rPr>
          <w:rFonts w:hint="eastAsia" w:ascii="宋体" w:eastAsia="宋体"/>
          <w:color w:val="auto"/>
          <w:sz w:val="21"/>
          <w:szCs w:val="21"/>
        </w:rPr>
        <w:t>2.乙方应在合同签订30天内，将家庭健康包运送至甲方指定地点。</w:t>
      </w:r>
    </w:p>
    <w:p>
      <w:pPr>
        <w:widowControl/>
        <w:spacing w:line="360" w:lineRule="auto"/>
        <w:ind w:firstLine="420" w:firstLineChars="200"/>
        <w:rPr>
          <w:color w:val="auto"/>
          <w:szCs w:val="21"/>
        </w:rPr>
      </w:pPr>
      <w:r>
        <w:rPr>
          <w:rFonts w:hint="eastAsia" w:ascii="宋体" w:hAnsi="宋体" w:eastAsia="宋体" w:cs="宋体"/>
          <w:color w:val="auto"/>
          <w:kern w:val="0"/>
          <w:szCs w:val="21"/>
          <w:lang w:bidi="ar"/>
        </w:rPr>
        <w:t xml:space="preserve">3.验收按国家有关的规定、规范进行。验收时如发现所交付的物品有次品、损坏或其它不符合本合同规定之情形者，甲方应作出详尽的现场记录，或由甲乙双方签署备忘录。此现场记录或备忘录可用作补充和更换损坏物件的有效证据。所交付物品如有次品、损坏，乙方应及时更换，由此产生的有关费用由乙方承担。 </w:t>
      </w:r>
    </w:p>
    <w:p>
      <w:pPr>
        <w:widowControl/>
        <w:spacing w:line="360" w:lineRule="auto"/>
        <w:ind w:firstLine="420" w:firstLineChars="200"/>
        <w:rPr>
          <w:color w:val="auto"/>
          <w:szCs w:val="21"/>
        </w:rPr>
      </w:pPr>
      <w:r>
        <w:rPr>
          <w:rFonts w:hint="eastAsia" w:ascii="宋体" w:hAnsi="宋体" w:eastAsia="宋体" w:cs="宋体"/>
          <w:color w:val="auto"/>
          <w:kern w:val="0"/>
          <w:szCs w:val="21"/>
          <w:lang w:bidi="ar"/>
        </w:rPr>
        <w:t xml:space="preserve">4.如果合同物品运输过程中因事故造成损坏，乙方应及时安排更换，换货的相关费用由乙方承担。 </w:t>
      </w:r>
    </w:p>
    <w:p>
      <w:pPr>
        <w:widowControl/>
        <w:spacing w:line="360" w:lineRule="auto"/>
        <w:ind w:firstLine="420" w:firstLineChars="200"/>
        <w:rPr>
          <w:rFonts w:ascii="宋体" w:eastAsia="宋体"/>
          <w:color w:val="auto"/>
          <w:szCs w:val="21"/>
        </w:rPr>
      </w:pPr>
      <w:r>
        <w:rPr>
          <w:rFonts w:hint="eastAsia" w:ascii="宋体" w:hAnsi="宋体" w:eastAsia="宋体" w:cs="宋体"/>
          <w:color w:val="auto"/>
          <w:kern w:val="0"/>
          <w:szCs w:val="21"/>
          <w:lang w:bidi="ar"/>
        </w:rPr>
        <w:t xml:space="preserve">5.乙方保证合同项下提供的物品不侵犯任何第三方的专利、商标或版权。否则，乙方须承担对第三方的专利或版权的侵权责任并承担因此而发生的所有费用。 </w:t>
      </w:r>
    </w:p>
    <w:p>
      <w:pPr>
        <w:spacing w:line="360" w:lineRule="auto"/>
        <w:rPr>
          <w:rFonts w:ascii="宋体"/>
          <w:b/>
          <w:bCs/>
          <w:color w:val="auto"/>
          <w:szCs w:val="21"/>
        </w:rPr>
      </w:pPr>
      <w:r>
        <w:rPr>
          <w:rFonts w:hint="eastAsia" w:ascii="宋体"/>
          <w:b/>
          <w:bCs/>
          <w:color w:val="auto"/>
          <w:szCs w:val="21"/>
        </w:rPr>
        <w:t>五、质保与售后</w:t>
      </w:r>
    </w:p>
    <w:p>
      <w:pPr>
        <w:pStyle w:val="2"/>
        <w:spacing w:after="0" w:line="360" w:lineRule="auto"/>
        <w:ind w:left="0" w:leftChars="0" w:firstLine="404"/>
        <w:rPr>
          <w:rFonts w:eastAsia="宋体"/>
          <w:color w:val="auto"/>
          <w:sz w:val="21"/>
          <w:szCs w:val="21"/>
        </w:rPr>
      </w:pPr>
      <w:r>
        <w:rPr>
          <w:rFonts w:hint="eastAsia"/>
          <w:color w:val="auto"/>
          <w:sz w:val="21"/>
          <w:szCs w:val="21"/>
        </w:rPr>
        <w:t>1.</w:t>
      </w:r>
      <w:r>
        <w:rPr>
          <w:rFonts w:hint="eastAsia" w:eastAsia="宋体"/>
          <w:color w:val="auto"/>
          <w:sz w:val="21"/>
          <w:szCs w:val="21"/>
        </w:rPr>
        <w:t>乙方所提供的物品必须是全新的，有产品合格证，其质量、规格符合合同的要求，且符合国家行业生产及经营标准。</w:t>
      </w:r>
    </w:p>
    <w:p>
      <w:pPr>
        <w:spacing w:line="360" w:lineRule="auto"/>
        <w:ind w:firstLine="420" w:firstLineChars="200"/>
        <w:rPr>
          <w:rFonts w:ascii="宋体"/>
          <w:color w:val="auto"/>
          <w:szCs w:val="21"/>
        </w:rPr>
      </w:pPr>
      <w:r>
        <w:rPr>
          <w:rFonts w:hint="eastAsia" w:ascii="宋体"/>
          <w:color w:val="auto"/>
          <w:szCs w:val="21"/>
        </w:rPr>
        <w:t>2.限油壶、限盐勺产品必须100%食品级材料制作，无毒无害，安全卫生，产品符合国家食品包装用成型品卫生标准。</w:t>
      </w:r>
    </w:p>
    <w:p>
      <w:pPr>
        <w:spacing w:line="360" w:lineRule="auto"/>
        <w:ind w:firstLine="420" w:firstLineChars="200"/>
        <w:rPr>
          <w:rFonts w:ascii="宋体"/>
          <w:color w:val="auto"/>
          <w:szCs w:val="21"/>
        </w:rPr>
      </w:pPr>
      <w:r>
        <w:rPr>
          <w:rFonts w:hint="eastAsia" w:ascii="宋体"/>
          <w:color w:val="auto"/>
          <w:szCs w:val="21"/>
        </w:rPr>
        <w:t>3.产品如有质量问题，乙方应及时调换，来回运费由乙方承担，如延误而给甲方造成任何损失由乙方承担。</w:t>
      </w:r>
    </w:p>
    <w:p>
      <w:pPr>
        <w:spacing w:line="360" w:lineRule="auto"/>
        <w:ind w:firstLine="420" w:firstLineChars="200"/>
        <w:rPr>
          <w:rFonts w:ascii="宋体" w:eastAsia="宋体"/>
          <w:color w:val="auto"/>
          <w:szCs w:val="21"/>
        </w:rPr>
      </w:pPr>
      <w:r>
        <w:rPr>
          <w:rFonts w:hint="eastAsia" w:ascii="宋体"/>
          <w:color w:val="auto"/>
          <w:szCs w:val="21"/>
        </w:rPr>
        <w:t>4.本合同的质量保证期为_____月，质保期内乙方对所供货物实行包修、包换、包退及合同约定的其它事项，来回运费由乙方承担。</w:t>
      </w:r>
    </w:p>
    <w:p>
      <w:pPr>
        <w:spacing w:line="360" w:lineRule="auto"/>
        <w:rPr>
          <w:rFonts w:ascii="宋体" w:hAnsi="宋体"/>
          <w:b/>
          <w:bCs/>
          <w:color w:val="auto"/>
          <w:szCs w:val="21"/>
        </w:rPr>
      </w:pPr>
      <w:r>
        <w:rPr>
          <w:rFonts w:hint="eastAsia" w:ascii="宋体" w:hAnsi="宋体"/>
          <w:b/>
          <w:bCs/>
          <w:color w:val="auto"/>
          <w:szCs w:val="21"/>
        </w:rPr>
        <w:t>六、不可抗力</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.不可抗力指战争、严重火灾、洪水、台风、地震等或其它双方认定的不可抗力事件。</w:t>
      </w:r>
    </w:p>
    <w:p>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rPr>
          <w:rFonts w:ascii="宋体" w:hAnsi="宋体"/>
          <w:b/>
          <w:bCs/>
          <w:color w:val="auto"/>
          <w:szCs w:val="21"/>
        </w:rPr>
      </w:pPr>
      <w:r>
        <w:rPr>
          <w:rFonts w:hint="eastAsia" w:ascii="宋体" w:hAnsi="宋体"/>
          <w:b/>
          <w:bCs/>
          <w:color w:val="auto"/>
          <w:szCs w:val="21"/>
        </w:rPr>
        <w:t>七、索赔</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.如有异议，甲方有权根据有关政府部门的检验结果向乙方提出索赔。</w:t>
      </w:r>
    </w:p>
    <w:p>
      <w:pPr>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.在合同执行期间，如果乙方对甲方提出的索赔和差异负有责任，乙方应按照甲方同意的下列一种或多种方式解决索赔事宜：</w:t>
      </w:r>
    </w:p>
    <w:p>
      <w:pPr>
        <w:spacing w:line="360" w:lineRule="auto"/>
        <w:ind w:firstLine="420" w:firstLineChars="200"/>
        <w:rPr>
          <w:rFonts w:ascii="宋体" w:hAnsi="宋体"/>
          <w:color w:val="auto"/>
          <w:szCs w:val="21"/>
        </w:rPr>
      </w:pPr>
      <w:r>
        <w:rPr>
          <w:rFonts w:hint="eastAsia" w:ascii="宋体" w:hAnsi="宋体"/>
          <w:color w:val="auto"/>
          <w:szCs w:val="21"/>
        </w:rPr>
        <w:t>（1）乙方同意退货，并按合同规定的同种货币将货款退还给甲方，并承担由此发生的一切损失和费用。</w:t>
      </w:r>
    </w:p>
    <w:p>
      <w:pPr>
        <w:spacing w:line="360" w:lineRule="auto"/>
        <w:ind w:firstLine="420" w:firstLineChars="200"/>
        <w:rPr>
          <w:rFonts w:ascii="宋体" w:hAnsi="宋体"/>
          <w:color w:val="auto"/>
          <w:szCs w:val="21"/>
        </w:rPr>
      </w:pPr>
      <w:r>
        <w:rPr>
          <w:rFonts w:hint="eastAsia" w:ascii="宋体" w:hAnsi="宋体"/>
          <w:color w:val="auto"/>
          <w:szCs w:val="21"/>
        </w:rPr>
        <w:t>（2）根据货物低劣程度、损坏程度以及甲方所遭受损失的数额甲乙双方商定降低货物的价格。</w:t>
      </w:r>
    </w:p>
    <w:p>
      <w:pPr>
        <w:spacing w:line="360" w:lineRule="auto"/>
        <w:ind w:firstLine="420" w:firstLineChars="200"/>
        <w:rPr>
          <w:rFonts w:ascii="宋体" w:hAnsi="宋体"/>
          <w:color w:val="auto"/>
          <w:szCs w:val="21"/>
        </w:rPr>
      </w:pPr>
      <w:r>
        <w:rPr>
          <w:rFonts w:hint="eastAsia" w:ascii="宋体" w:hAnsi="宋体"/>
          <w:color w:val="auto"/>
          <w:szCs w:val="21"/>
        </w:rPr>
        <w:t>（3）用符合规格、质量和性能要求的新货物来更换有缺陷的部分或修补缺陷的部分，乙方应承担一切费用和风险并负有甲方所发生的一切直接费用。同时，相应延长质量保证期。</w:t>
      </w:r>
    </w:p>
    <w:p>
      <w:pPr>
        <w:tabs>
          <w:tab w:val="left" w:pos="540"/>
        </w:tabs>
        <w:spacing w:line="360" w:lineRule="auto"/>
        <w:ind w:firstLine="420" w:firstLineChars="200"/>
        <w:rPr>
          <w:rFonts w:ascii="宋体" w:hAnsi="宋体"/>
          <w:color w:val="auto"/>
          <w:szCs w:val="21"/>
        </w:rPr>
      </w:pPr>
      <w:r>
        <w:rPr>
          <w:rFonts w:hint="eastAsia" w:ascii="宋体" w:hAnsi="宋体"/>
          <w:color w:val="auto"/>
          <w:szCs w:val="21"/>
        </w:rPr>
        <w:t>3.如果在甲方发出索赔通知后</w:t>
      </w:r>
      <w:r>
        <w:rPr>
          <w:rFonts w:ascii="宋体" w:hAnsi="宋体"/>
          <w:color w:val="auto"/>
          <w:szCs w:val="21"/>
          <w:shd w:val="clear" w:color="auto" w:fill="FFFFFF"/>
        </w:rPr>
        <w:t>30</w:t>
      </w:r>
      <w:r>
        <w:rPr>
          <w:rFonts w:hint="eastAsia" w:ascii="宋体" w:hAnsi="宋体"/>
          <w:color w:val="auto"/>
          <w:szCs w:val="21"/>
        </w:rPr>
        <w:t>天内，乙方未作答复，上述索赔应视为已被乙方接受。甲方将从合同款项中扣回索赔金额。如果这些金额不足以补偿索赔金额，甲方有权向乙方提出不足部分的补偿。</w:t>
      </w:r>
    </w:p>
    <w:p>
      <w:pPr>
        <w:spacing w:line="360" w:lineRule="auto"/>
        <w:ind w:left="567" w:hanging="567" w:hangingChars="269"/>
        <w:rPr>
          <w:rFonts w:ascii="宋体" w:hAnsi="宋体"/>
          <w:color w:val="auto"/>
          <w:szCs w:val="21"/>
        </w:rPr>
      </w:pPr>
      <w:r>
        <w:rPr>
          <w:rFonts w:hint="eastAsia" w:ascii="宋体" w:hAnsi="宋体"/>
          <w:b/>
          <w:bCs/>
          <w:color w:val="auto"/>
          <w:szCs w:val="21"/>
        </w:rPr>
        <w:t>八、违约与处罚</w:t>
      </w:r>
    </w:p>
    <w:p>
      <w:pPr>
        <w:spacing w:line="360" w:lineRule="auto"/>
        <w:ind w:firstLine="420" w:firstLineChars="200"/>
        <w:rPr>
          <w:rFonts w:ascii="宋体" w:hAnsi="宋体"/>
          <w:color w:val="auto"/>
          <w:szCs w:val="21"/>
        </w:rPr>
      </w:pPr>
      <w:r>
        <w:rPr>
          <w:rFonts w:hint="eastAsia" w:ascii="宋体" w:hAnsi="宋体"/>
          <w:color w:val="auto"/>
          <w:szCs w:val="21"/>
        </w:rPr>
        <w:t>1.甲方应依合同规定时间内，向乙方支付货款，每拖延一天乙方可向甲方加收合同金额的</w:t>
      </w:r>
      <w:r>
        <w:rPr>
          <w:rFonts w:ascii="宋体" w:hAnsi="宋体"/>
          <w:color w:val="auto"/>
          <w:szCs w:val="21"/>
          <w:shd w:val="clear" w:color="auto" w:fill="FFFFFF"/>
        </w:rPr>
        <w:t>3</w:t>
      </w:r>
      <w:r>
        <w:rPr>
          <w:rFonts w:hint="eastAsia" w:ascii="宋体" w:hAnsi="宋体"/>
          <w:color w:val="auto"/>
          <w:szCs w:val="21"/>
          <w:shd w:val="clear" w:color="auto" w:fill="FFFFFF"/>
        </w:rPr>
        <w:t>‰</w:t>
      </w:r>
      <w:r>
        <w:rPr>
          <w:rFonts w:hint="eastAsia" w:ascii="宋体" w:hAnsi="宋体"/>
          <w:color w:val="auto"/>
          <w:szCs w:val="21"/>
        </w:rPr>
        <w:t>的违约金。</w:t>
      </w:r>
    </w:p>
    <w:p>
      <w:pPr>
        <w:spacing w:line="360" w:lineRule="auto"/>
        <w:ind w:firstLine="420" w:firstLineChars="200"/>
        <w:rPr>
          <w:rFonts w:ascii="宋体" w:hAnsi="宋体"/>
          <w:color w:val="auto"/>
          <w:szCs w:val="21"/>
        </w:rPr>
      </w:pPr>
      <w:r>
        <w:rPr>
          <w:rFonts w:hint="eastAsia" w:ascii="宋体" w:hAnsi="宋体"/>
          <w:color w:val="auto"/>
          <w:szCs w:val="21"/>
        </w:rPr>
        <w:t>2.乙方未能按时交货，每拖延一天，须向甲方支付合同金额的</w:t>
      </w:r>
      <w:r>
        <w:rPr>
          <w:rFonts w:ascii="宋体" w:hAnsi="宋体"/>
          <w:color w:val="auto"/>
          <w:szCs w:val="21"/>
          <w:shd w:val="clear" w:color="auto" w:fill="FFFFFF"/>
        </w:rPr>
        <w:t>3</w:t>
      </w:r>
      <w:r>
        <w:rPr>
          <w:rFonts w:hint="eastAsia" w:ascii="宋体" w:hAnsi="宋体"/>
          <w:color w:val="auto"/>
          <w:szCs w:val="21"/>
          <w:shd w:val="clear" w:color="auto" w:fill="FFFFFF"/>
        </w:rPr>
        <w:t>‰</w:t>
      </w:r>
      <w:r>
        <w:rPr>
          <w:rFonts w:hint="eastAsia" w:ascii="宋体" w:hAnsi="宋体"/>
          <w:color w:val="auto"/>
          <w:szCs w:val="21"/>
        </w:rPr>
        <w:t>的违约金</w:t>
      </w:r>
      <w:r>
        <w:rPr>
          <w:rFonts w:hint="eastAsia" w:ascii="宋体" w:hAnsi="宋体"/>
          <w:b/>
          <w:color w:val="auto"/>
          <w:szCs w:val="21"/>
        </w:rPr>
        <w:t>，</w:t>
      </w:r>
      <w:r>
        <w:rPr>
          <w:rFonts w:hint="eastAsia" w:ascii="宋体" w:hAnsi="宋体"/>
          <w:bCs/>
          <w:color w:val="auto"/>
          <w:szCs w:val="21"/>
        </w:rPr>
        <w:t>逾期</w:t>
      </w:r>
      <w:r>
        <w:rPr>
          <w:rFonts w:hint="eastAsia" w:ascii="宋体" w:hAnsi="宋体"/>
          <w:color w:val="auto"/>
          <w:szCs w:val="21"/>
        </w:rPr>
        <w:t>半个月以上的，甲方有权终止合同，因此造成的甲方经济损失由乙方承担。</w:t>
      </w:r>
    </w:p>
    <w:p>
      <w:pPr>
        <w:spacing w:line="360" w:lineRule="auto"/>
        <w:ind w:firstLine="420" w:firstLineChars="200"/>
        <w:rPr>
          <w:rFonts w:ascii="宋体" w:hAnsi="宋体"/>
          <w:color w:val="auto"/>
          <w:szCs w:val="21"/>
        </w:rPr>
      </w:pPr>
      <w:r>
        <w:rPr>
          <w:rFonts w:hint="eastAsia" w:ascii="宋体" w:hAnsi="宋体"/>
          <w:color w:val="auto"/>
          <w:szCs w:val="21"/>
        </w:rPr>
        <w:t>3.乙方交付的货物不符合合同规定的，甲方有权拒收，乙方向甲方支付合同金额的</w:t>
      </w:r>
      <w:r>
        <w:rPr>
          <w:rFonts w:ascii="宋体" w:hAnsi="宋体"/>
          <w:color w:val="auto"/>
          <w:szCs w:val="21"/>
          <w:shd w:val="clear" w:color="auto" w:fill="FFFFFF"/>
        </w:rPr>
        <w:t>5%</w:t>
      </w:r>
      <w:r>
        <w:rPr>
          <w:rFonts w:hint="eastAsia" w:ascii="宋体" w:hAnsi="宋体"/>
          <w:color w:val="auto"/>
          <w:szCs w:val="21"/>
        </w:rPr>
        <w:t>的违约金。</w:t>
      </w:r>
    </w:p>
    <w:p>
      <w:pPr>
        <w:spacing w:line="360" w:lineRule="auto"/>
        <w:ind w:left="208" w:leftChars="99" w:firstLine="273" w:firstLineChars="130"/>
        <w:rPr>
          <w:rFonts w:ascii="宋体" w:hAnsi="宋体"/>
          <w:color w:val="auto"/>
          <w:szCs w:val="21"/>
        </w:rPr>
      </w:pPr>
      <w:r>
        <w:rPr>
          <w:rFonts w:hint="eastAsia" w:ascii="宋体" w:hAnsi="宋体"/>
          <w:color w:val="auto"/>
          <w:szCs w:val="21"/>
        </w:rPr>
        <w:t>4.甲方无正当理由拒收货物的，甲方向乙方支付合同金额的</w:t>
      </w:r>
      <w:r>
        <w:rPr>
          <w:rFonts w:ascii="宋体" w:hAnsi="宋体"/>
          <w:color w:val="auto"/>
          <w:szCs w:val="21"/>
          <w:shd w:val="clear" w:color="auto" w:fill="FFFFFF"/>
        </w:rPr>
        <w:t>5%</w:t>
      </w:r>
      <w:r>
        <w:rPr>
          <w:rFonts w:hint="eastAsia" w:ascii="宋体" w:hAnsi="宋体"/>
          <w:color w:val="auto"/>
          <w:szCs w:val="21"/>
        </w:rPr>
        <w:t>的违约金。</w:t>
      </w:r>
    </w:p>
    <w:p>
      <w:pPr>
        <w:spacing w:line="360" w:lineRule="auto"/>
        <w:ind w:left="208" w:leftChars="99" w:firstLine="273" w:firstLineChars="130"/>
        <w:rPr>
          <w:rFonts w:ascii="宋体" w:hAnsi="宋体"/>
          <w:color w:val="auto"/>
          <w:szCs w:val="21"/>
        </w:rPr>
      </w:pPr>
      <w:r>
        <w:rPr>
          <w:rFonts w:hint="eastAsia" w:ascii="宋体" w:hAnsi="宋体"/>
          <w:color w:val="auto"/>
          <w:szCs w:val="21"/>
        </w:rPr>
        <w:t>5.乙方未能交付货物，则向甲方支付合同金额的</w:t>
      </w:r>
      <w:r>
        <w:rPr>
          <w:rFonts w:ascii="宋体" w:hAnsi="宋体"/>
          <w:color w:val="auto"/>
          <w:szCs w:val="21"/>
          <w:shd w:val="clear" w:color="auto" w:fill="FFFFFF"/>
        </w:rPr>
        <w:t>7.5%</w:t>
      </w:r>
      <w:r>
        <w:rPr>
          <w:rFonts w:hint="eastAsia" w:ascii="宋体" w:hAnsi="宋体"/>
          <w:color w:val="auto"/>
          <w:szCs w:val="21"/>
        </w:rPr>
        <w:t>的违约金。</w:t>
      </w:r>
    </w:p>
    <w:p>
      <w:pPr>
        <w:spacing w:line="360" w:lineRule="auto"/>
        <w:ind w:left="567" w:hanging="567" w:hangingChars="269"/>
        <w:rPr>
          <w:rFonts w:ascii="宋体" w:hAnsi="宋体"/>
          <w:b/>
          <w:bCs/>
          <w:color w:val="auto"/>
          <w:szCs w:val="21"/>
        </w:rPr>
      </w:pPr>
      <w:r>
        <w:rPr>
          <w:rFonts w:hint="eastAsia" w:ascii="宋体" w:hAnsi="宋体"/>
          <w:b/>
          <w:bCs/>
          <w:color w:val="auto"/>
          <w:szCs w:val="21"/>
        </w:rPr>
        <w:t>九、合同终止</w:t>
      </w:r>
    </w:p>
    <w:p>
      <w:pPr>
        <w:spacing w:line="360" w:lineRule="auto"/>
        <w:ind w:firstLine="420" w:firstLineChars="200"/>
        <w:rPr>
          <w:rFonts w:ascii="宋体" w:hAnsi="宋体"/>
          <w:color w:val="auto"/>
          <w:szCs w:val="21"/>
        </w:rPr>
      </w:pPr>
      <w:r>
        <w:rPr>
          <w:rFonts w:hint="eastAsia" w:ascii="宋体" w:hAnsi="宋体"/>
          <w:color w:val="auto"/>
          <w:szCs w:val="21"/>
        </w:rPr>
        <w:t>如果一方严重违反合同，并在收到对方违约通知书后在</w:t>
      </w:r>
      <w:r>
        <w:rPr>
          <w:rFonts w:ascii="宋体" w:hAnsi="宋体"/>
          <w:color w:val="auto"/>
          <w:szCs w:val="21"/>
          <w:shd w:val="clear" w:color="auto" w:fill="FFFFFF"/>
        </w:rPr>
        <w:t>30</w:t>
      </w:r>
      <w:r>
        <w:rPr>
          <w:rFonts w:hint="eastAsia" w:ascii="宋体" w:hAnsi="宋体"/>
          <w:color w:val="auto"/>
          <w:szCs w:val="21"/>
        </w:rPr>
        <w:t>天内仍未能改正违约的，另一方可立即终止本合同。</w:t>
      </w:r>
    </w:p>
    <w:p>
      <w:pPr>
        <w:spacing w:line="360" w:lineRule="auto"/>
        <w:rPr>
          <w:rFonts w:ascii="宋体" w:hAnsi="宋体"/>
          <w:b/>
          <w:bCs/>
          <w:color w:val="auto"/>
          <w:szCs w:val="21"/>
        </w:rPr>
      </w:pPr>
      <w:r>
        <w:rPr>
          <w:rFonts w:hint="eastAsia" w:ascii="宋体" w:hAnsi="宋体"/>
          <w:b/>
          <w:bCs/>
          <w:color w:val="auto"/>
          <w:szCs w:val="21"/>
        </w:rPr>
        <w:t>十、法律诉讼</w:t>
      </w:r>
    </w:p>
    <w:p>
      <w:pPr>
        <w:spacing w:line="360" w:lineRule="auto"/>
        <w:ind w:firstLine="420" w:firstLineChars="200"/>
        <w:rPr>
          <w:rFonts w:ascii="宋体" w:hAnsi="宋体"/>
          <w:color w:val="auto"/>
          <w:szCs w:val="21"/>
        </w:rPr>
      </w:pPr>
      <w:r>
        <w:rPr>
          <w:rFonts w:hint="eastAsia" w:ascii="宋体" w:hAnsi="宋体"/>
          <w:color w:val="auto"/>
          <w:szCs w:val="21"/>
        </w:rPr>
        <w:t>签约双方在履约中发生争执和分歧，双方应通过友好协商解决，若经协商不能达成协议时，则由甲方所在地人民法院提起诉讼。受理期间，双方应继续执行合同其余部分。</w:t>
      </w:r>
    </w:p>
    <w:p>
      <w:pPr>
        <w:widowControl/>
        <w:spacing w:line="360" w:lineRule="auto"/>
        <w:rPr>
          <w:rFonts w:ascii="宋体" w:hAnsi="宋体" w:eastAsia="宋体" w:cs="宋体"/>
          <w:color w:val="auto"/>
          <w:szCs w:val="21"/>
        </w:rPr>
      </w:pPr>
      <w:r>
        <w:rPr>
          <w:rFonts w:hint="eastAsia" w:ascii="宋体" w:hAnsi="宋体" w:eastAsia="宋体" w:cs="宋体"/>
          <w:b/>
          <w:color w:val="auto"/>
          <w:kern w:val="0"/>
          <w:szCs w:val="21"/>
          <w:lang w:bidi="ar"/>
        </w:rPr>
        <w:t xml:space="preserve">十一、其他 </w:t>
      </w:r>
    </w:p>
    <w:p>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kern w:val="0"/>
          <w:szCs w:val="21"/>
          <w:lang w:bidi="ar"/>
        </w:rPr>
        <w:t>1.本合同正本四份，具有同等法律效力，甲方执三份，乙方执一份。合同自签字之日起即时生效。</w:t>
      </w:r>
      <w:r>
        <w:rPr>
          <w:rFonts w:hint="eastAsia" w:ascii="宋体" w:hAnsi="宋体" w:eastAsia="宋体" w:cs="宋体"/>
          <w:b/>
          <w:color w:val="auto"/>
          <w:kern w:val="0"/>
          <w:szCs w:val="21"/>
          <w:lang w:bidi="ar"/>
        </w:rPr>
        <w:t xml:space="preserve"> </w:t>
      </w:r>
    </w:p>
    <w:p>
      <w:pPr>
        <w:widowControl/>
        <w:spacing w:line="360" w:lineRule="auto"/>
        <w:ind w:firstLine="420" w:firstLineChars="200"/>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2.本合同未尽事宜，由双方协商处理。 </w:t>
      </w:r>
    </w:p>
    <w:p>
      <w:pPr>
        <w:pStyle w:val="2"/>
        <w:ind w:firstLine="464"/>
        <w:rPr>
          <w:rFonts w:hAnsi="宋体" w:eastAsia="宋体" w:cs="宋体"/>
          <w:color w:val="auto"/>
          <w:kern w:val="0"/>
          <w:sz w:val="24"/>
          <w:lang w:bidi="ar"/>
        </w:rPr>
      </w:pPr>
    </w:p>
    <w:p>
      <w:pPr>
        <w:spacing w:line="360" w:lineRule="auto"/>
        <w:ind w:firstLine="210" w:firstLineChars="100"/>
        <w:rPr>
          <w:rFonts w:ascii="宋体"/>
          <w:color w:val="auto"/>
          <w:szCs w:val="21"/>
        </w:rPr>
      </w:pPr>
      <w:r>
        <w:rPr>
          <w:rFonts w:hint="eastAsia" w:ascii="宋体"/>
          <w:color w:val="auto"/>
          <w:szCs w:val="21"/>
        </w:rPr>
        <w:t xml:space="preserve">甲方：广东省卫生健康宣传教育中心                 乙方：             </w:t>
      </w:r>
    </w:p>
    <w:p>
      <w:pPr>
        <w:spacing w:line="360" w:lineRule="auto"/>
        <w:ind w:firstLine="210" w:firstLineChars="100"/>
        <w:rPr>
          <w:rFonts w:ascii="宋体"/>
          <w:color w:val="auto"/>
          <w:szCs w:val="21"/>
        </w:rPr>
      </w:pPr>
      <w:r>
        <w:rPr>
          <w:rFonts w:hint="eastAsia" w:ascii="宋体"/>
          <w:color w:val="auto"/>
          <w:szCs w:val="21"/>
        </w:rPr>
        <w:t xml:space="preserve">代表签字：                                       代表签字：      </w:t>
      </w:r>
    </w:p>
    <w:p>
      <w:pPr>
        <w:spacing w:line="360" w:lineRule="auto"/>
        <w:rPr>
          <w:rFonts w:ascii="宋体"/>
          <w:color w:val="auto"/>
          <w:szCs w:val="21"/>
        </w:rPr>
      </w:pPr>
      <w:r>
        <w:rPr>
          <w:rFonts w:hint="eastAsia" w:ascii="宋体"/>
          <w:color w:val="auto"/>
          <w:szCs w:val="21"/>
        </w:rPr>
        <w:t xml:space="preserve">  电话：                                           电话： </w:t>
      </w:r>
    </w:p>
    <w:p>
      <w:pPr>
        <w:spacing w:line="360" w:lineRule="auto"/>
        <w:rPr>
          <w:rFonts w:ascii="宋体"/>
          <w:color w:val="auto"/>
          <w:szCs w:val="21"/>
        </w:rPr>
      </w:pPr>
      <w:r>
        <w:rPr>
          <w:rFonts w:hint="eastAsia" w:ascii="宋体"/>
          <w:color w:val="auto"/>
          <w:szCs w:val="21"/>
        </w:rPr>
        <w:t xml:space="preserve">  传真：                                           传真：   </w:t>
      </w:r>
    </w:p>
    <w:p>
      <w:pPr>
        <w:spacing w:line="360" w:lineRule="auto"/>
        <w:ind w:firstLine="210" w:firstLineChars="100"/>
        <w:rPr>
          <w:rFonts w:ascii="宋体"/>
          <w:color w:val="auto"/>
          <w:szCs w:val="21"/>
        </w:rPr>
      </w:pPr>
      <w:r>
        <w:rPr>
          <w:rFonts w:hint="eastAsia" w:ascii="宋体"/>
          <w:color w:val="auto"/>
          <w:szCs w:val="21"/>
        </w:rPr>
        <w:t>地址：                                           地址：</w:t>
      </w:r>
    </w:p>
    <w:p>
      <w:pPr>
        <w:numPr>
          <w:ilvl w:val="255"/>
          <w:numId w:val="0"/>
        </w:numPr>
        <w:spacing w:line="360" w:lineRule="auto"/>
        <w:ind w:firstLine="210" w:firstLineChars="100"/>
        <w:rPr>
          <w:rFonts w:ascii="方正小标宋简体" w:hAnsi="方正小标宋简体" w:eastAsia="方正小标宋简体" w:cs="方正小标宋简体"/>
          <w:color w:val="auto"/>
          <w:sz w:val="28"/>
          <w:szCs w:val="28"/>
        </w:rPr>
      </w:pPr>
      <w:r>
        <w:rPr>
          <w:rFonts w:hint="eastAsia" w:ascii="宋体"/>
          <w:color w:val="auto"/>
          <w:szCs w:val="21"/>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70510" cy="4648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70510" cy="46482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29</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6.6pt;width:21.3pt;mso-position-horizontal:outside;mso-position-horizontal-relative:margin;mso-wrap-style:none;z-index:251659264;mso-width-relative:page;mso-height-relative:page;" filled="f" stroked="f" coordsize="21600,21600" o:gfxdata="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F0GYHSAAAAAwEAAA8AAAAA&#10;AAAAAQAgAAAAIgAAAGRycy9kb3ducmV2LnhtbFBLAQIUABQAAAAIAIdO4kCjarU9GgIAABUEAAAO&#10;AAAAAAAAAAEAIAAAACEBAABkcnMvZTJvRG9jLnhtbFBLBQYAAAAABgAGAFkBAACt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E7864"/>
    <w:multiLevelType w:val="singleLevel"/>
    <w:tmpl w:val="A59E7864"/>
    <w:lvl w:ilvl="0" w:tentative="0">
      <w:start w:val="1"/>
      <w:numFmt w:val="decimal"/>
      <w:suff w:val="nothing"/>
      <w:lvlText w:val="%1、"/>
      <w:lvlJc w:val="left"/>
    </w:lvl>
  </w:abstractNum>
  <w:abstractNum w:abstractNumId="1">
    <w:nsid w:val="E240430A"/>
    <w:multiLevelType w:val="singleLevel"/>
    <w:tmpl w:val="E240430A"/>
    <w:lvl w:ilvl="0" w:tentative="0">
      <w:start w:val="2"/>
      <w:numFmt w:val="chineseCounting"/>
      <w:suff w:val="nothing"/>
      <w:lvlText w:val="%1、"/>
      <w:lvlJc w:val="left"/>
      <w:rPr>
        <w:rFonts w:hint="eastAsia"/>
      </w:rPr>
    </w:lvl>
  </w:abstractNum>
  <w:abstractNum w:abstractNumId="2">
    <w:nsid w:val="13F3016E"/>
    <w:multiLevelType w:val="multilevel"/>
    <w:tmpl w:val="13F3016E"/>
    <w:lvl w:ilvl="0" w:tentative="0">
      <w:start w:val="1"/>
      <w:numFmt w:val="decimal"/>
      <w:lvlText w:val="%1."/>
      <w:lvlJc w:val="left"/>
      <w:pPr>
        <w:tabs>
          <w:tab w:val="left" w:pos="1264"/>
        </w:tabs>
        <w:ind w:left="126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3A5257D"/>
    <w:multiLevelType w:val="multilevel"/>
    <w:tmpl w:val="23A5257D"/>
    <w:lvl w:ilvl="0" w:tentative="0">
      <w:start w:val="1"/>
      <w:numFmt w:val="chineseCountingThousand"/>
      <w:lvlText w:val="%1、"/>
      <w:lvlJc w:val="left"/>
      <w:pPr>
        <w:ind w:left="425" w:hanging="425"/>
      </w:pPr>
      <w:rPr>
        <w:rFonts w:hint="eastAsia" w:ascii="宋体" w:hAnsi="宋体" w:eastAsia="宋体"/>
        <w:b/>
        <w:sz w:val="24"/>
        <w:szCs w:val="24"/>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6ED3BC5"/>
    <w:multiLevelType w:val="multilevel"/>
    <w:tmpl w:val="46ED3BC5"/>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C03BCCE"/>
    <w:multiLevelType w:val="singleLevel"/>
    <w:tmpl w:val="4C03BCCE"/>
    <w:lvl w:ilvl="0" w:tentative="0">
      <w:start w:val="3"/>
      <w:numFmt w:val="decimal"/>
      <w:suff w:val="nothing"/>
      <w:lvlText w:val="（%1）"/>
      <w:lvlJc w:val="left"/>
    </w:lvl>
  </w:abstractNum>
  <w:abstractNum w:abstractNumId="6">
    <w:nsid w:val="654D0E2E"/>
    <w:multiLevelType w:val="multilevel"/>
    <w:tmpl w:val="654D0E2E"/>
    <w:lvl w:ilvl="0" w:tentative="0">
      <w:start w:val="1"/>
      <w:numFmt w:val="decimal"/>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36"/>
    <w:rsid w:val="00000028"/>
    <w:rsid w:val="00015B7E"/>
    <w:rsid w:val="00094499"/>
    <w:rsid w:val="000C53BC"/>
    <w:rsid w:val="000C5536"/>
    <w:rsid w:val="000D4BBC"/>
    <w:rsid w:val="000D7BD0"/>
    <w:rsid w:val="00150464"/>
    <w:rsid w:val="00206821"/>
    <w:rsid w:val="002145D6"/>
    <w:rsid w:val="0021571E"/>
    <w:rsid w:val="002425B9"/>
    <w:rsid w:val="00250E43"/>
    <w:rsid w:val="00282136"/>
    <w:rsid w:val="002918C7"/>
    <w:rsid w:val="00291EA9"/>
    <w:rsid w:val="002B7D1B"/>
    <w:rsid w:val="002D7493"/>
    <w:rsid w:val="0031101F"/>
    <w:rsid w:val="00337EC5"/>
    <w:rsid w:val="00340D9C"/>
    <w:rsid w:val="003B569C"/>
    <w:rsid w:val="00424A07"/>
    <w:rsid w:val="004853B7"/>
    <w:rsid w:val="004C6733"/>
    <w:rsid w:val="004F052A"/>
    <w:rsid w:val="0053710D"/>
    <w:rsid w:val="00541748"/>
    <w:rsid w:val="00587714"/>
    <w:rsid w:val="005A3CBF"/>
    <w:rsid w:val="005A54E1"/>
    <w:rsid w:val="005E1136"/>
    <w:rsid w:val="00635B81"/>
    <w:rsid w:val="00665B7A"/>
    <w:rsid w:val="006A12C8"/>
    <w:rsid w:val="006A4B4F"/>
    <w:rsid w:val="006C6B57"/>
    <w:rsid w:val="006E5691"/>
    <w:rsid w:val="006F3C12"/>
    <w:rsid w:val="007014E0"/>
    <w:rsid w:val="00781512"/>
    <w:rsid w:val="007952DB"/>
    <w:rsid w:val="007B29E8"/>
    <w:rsid w:val="00805CC7"/>
    <w:rsid w:val="008710D5"/>
    <w:rsid w:val="008751B5"/>
    <w:rsid w:val="008B7919"/>
    <w:rsid w:val="008C1F15"/>
    <w:rsid w:val="00910A4A"/>
    <w:rsid w:val="00962256"/>
    <w:rsid w:val="009B7EFA"/>
    <w:rsid w:val="009D458A"/>
    <w:rsid w:val="009D7E79"/>
    <w:rsid w:val="00A0632E"/>
    <w:rsid w:val="00A073FD"/>
    <w:rsid w:val="00A16C9E"/>
    <w:rsid w:val="00A40F5C"/>
    <w:rsid w:val="00A57D39"/>
    <w:rsid w:val="00A64F74"/>
    <w:rsid w:val="00AC75F9"/>
    <w:rsid w:val="00B05C8A"/>
    <w:rsid w:val="00B13E95"/>
    <w:rsid w:val="00B1571B"/>
    <w:rsid w:val="00B332CC"/>
    <w:rsid w:val="00B403E1"/>
    <w:rsid w:val="00B806C8"/>
    <w:rsid w:val="00BA6BC1"/>
    <w:rsid w:val="00BE4973"/>
    <w:rsid w:val="00C05ACA"/>
    <w:rsid w:val="00C20396"/>
    <w:rsid w:val="00C255E5"/>
    <w:rsid w:val="00CA52CA"/>
    <w:rsid w:val="00D57D44"/>
    <w:rsid w:val="00D644B9"/>
    <w:rsid w:val="00D7252D"/>
    <w:rsid w:val="00DE5B1C"/>
    <w:rsid w:val="00DE6A8F"/>
    <w:rsid w:val="00E81426"/>
    <w:rsid w:val="00EC60A3"/>
    <w:rsid w:val="00ED09D5"/>
    <w:rsid w:val="00F161EF"/>
    <w:rsid w:val="00F21808"/>
    <w:rsid w:val="00F35E05"/>
    <w:rsid w:val="00F44BFF"/>
    <w:rsid w:val="00F679F5"/>
    <w:rsid w:val="00F76913"/>
    <w:rsid w:val="00FB0A9F"/>
    <w:rsid w:val="00FE7359"/>
    <w:rsid w:val="00FF3751"/>
    <w:rsid w:val="00FF3C66"/>
    <w:rsid w:val="01091FDB"/>
    <w:rsid w:val="01426305"/>
    <w:rsid w:val="01460EF2"/>
    <w:rsid w:val="018121B7"/>
    <w:rsid w:val="01CC364B"/>
    <w:rsid w:val="01F01316"/>
    <w:rsid w:val="02145C81"/>
    <w:rsid w:val="02DD1910"/>
    <w:rsid w:val="046E3616"/>
    <w:rsid w:val="04A16705"/>
    <w:rsid w:val="04D81348"/>
    <w:rsid w:val="0509455D"/>
    <w:rsid w:val="055D5927"/>
    <w:rsid w:val="055F7E57"/>
    <w:rsid w:val="05BE40DF"/>
    <w:rsid w:val="06526118"/>
    <w:rsid w:val="06B02191"/>
    <w:rsid w:val="06DF6132"/>
    <w:rsid w:val="06F71C9F"/>
    <w:rsid w:val="06FD2397"/>
    <w:rsid w:val="07AC6CA4"/>
    <w:rsid w:val="083F5E0F"/>
    <w:rsid w:val="08530E4F"/>
    <w:rsid w:val="086548D1"/>
    <w:rsid w:val="08D907B6"/>
    <w:rsid w:val="09402860"/>
    <w:rsid w:val="0A142342"/>
    <w:rsid w:val="0A892B4A"/>
    <w:rsid w:val="0B3A2692"/>
    <w:rsid w:val="0CAF5163"/>
    <w:rsid w:val="0CDE3309"/>
    <w:rsid w:val="0D1972AB"/>
    <w:rsid w:val="0D8D72A7"/>
    <w:rsid w:val="0DCF662E"/>
    <w:rsid w:val="0F8D7DEF"/>
    <w:rsid w:val="0F9B5686"/>
    <w:rsid w:val="11FD284F"/>
    <w:rsid w:val="12275227"/>
    <w:rsid w:val="123512B2"/>
    <w:rsid w:val="12F70401"/>
    <w:rsid w:val="139E1E5F"/>
    <w:rsid w:val="157E72A1"/>
    <w:rsid w:val="15A81E75"/>
    <w:rsid w:val="15BB2489"/>
    <w:rsid w:val="15FE4933"/>
    <w:rsid w:val="16721757"/>
    <w:rsid w:val="16792E60"/>
    <w:rsid w:val="16C34121"/>
    <w:rsid w:val="17270529"/>
    <w:rsid w:val="174F51A6"/>
    <w:rsid w:val="17697C02"/>
    <w:rsid w:val="177C69BC"/>
    <w:rsid w:val="18633E2A"/>
    <w:rsid w:val="18FE4DDE"/>
    <w:rsid w:val="192C164D"/>
    <w:rsid w:val="1945046F"/>
    <w:rsid w:val="19962047"/>
    <w:rsid w:val="19D86467"/>
    <w:rsid w:val="1AAF6BE4"/>
    <w:rsid w:val="1B280FC1"/>
    <w:rsid w:val="1B403EA2"/>
    <w:rsid w:val="1B5269AB"/>
    <w:rsid w:val="1B6F39A3"/>
    <w:rsid w:val="1B7F2075"/>
    <w:rsid w:val="1BC007FC"/>
    <w:rsid w:val="1BC600C6"/>
    <w:rsid w:val="1C331D2C"/>
    <w:rsid w:val="1C4B5933"/>
    <w:rsid w:val="1CE40E21"/>
    <w:rsid w:val="1D19395C"/>
    <w:rsid w:val="1D1D68D1"/>
    <w:rsid w:val="1D21601F"/>
    <w:rsid w:val="1D3C5FAA"/>
    <w:rsid w:val="1D4F503E"/>
    <w:rsid w:val="1DD60F6B"/>
    <w:rsid w:val="1DFA3AD1"/>
    <w:rsid w:val="1F2E6CC1"/>
    <w:rsid w:val="1F610E3F"/>
    <w:rsid w:val="1F877ED0"/>
    <w:rsid w:val="206A4C23"/>
    <w:rsid w:val="20E62F8B"/>
    <w:rsid w:val="2164365D"/>
    <w:rsid w:val="21AE266B"/>
    <w:rsid w:val="21B4290A"/>
    <w:rsid w:val="21EB699E"/>
    <w:rsid w:val="220A7D47"/>
    <w:rsid w:val="230C3E4A"/>
    <w:rsid w:val="23290D89"/>
    <w:rsid w:val="238A73BB"/>
    <w:rsid w:val="240E57DE"/>
    <w:rsid w:val="25E40AFB"/>
    <w:rsid w:val="26B50375"/>
    <w:rsid w:val="27742CE7"/>
    <w:rsid w:val="277C5637"/>
    <w:rsid w:val="278A2437"/>
    <w:rsid w:val="27D42EFB"/>
    <w:rsid w:val="28212C92"/>
    <w:rsid w:val="28224C12"/>
    <w:rsid w:val="285D1CB1"/>
    <w:rsid w:val="295504E5"/>
    <w:rsid w:val="29886A04"/>
    <w:rsid w:val="2A2B5D75"/>
    <w:rsid w:val="2A3A3FFD"/>
    <w:rsid w:val="2C3D4AEC"/>
    <w:rsid w:val="2C561C92"/>
    <w:rsid w:val="2CBD3C23"/>
    <w:rsid w:val="2CE00342"/>
    <w:rsid w:val="2D427D25"/>
    <w:rsid w:val="2D471E8A"/>
    <w:rsid w:val="2D7B514B"/>
    <w:rsid w:val="2D83588D"/>
    <w:rsid w:val="2E5705B0"/>
    <w:rsid w:val="2EFD48D7"/>
    <w:rsid w:val="2FC63DB6"/>
    <w:rsid w:val="311A1675"/>
    <w:rsid w:val="31A8608F"/>
    <w:rsid w:val="31CF6148"/>
    <w:rsid w:val="325D488C"/>
    <w:rsid w:val="330F2CE7"/>
    <w:rsid w:val="332A0922"/>
    <w:rsid w:val="336B4739"/>
    <w:rsid w:val="339C57A9"/>
    <w:rsid w:val="34726AC4"/>
    <w:rsid w:val="34C05A0A"/>
    <w:rsid w:val="352437BA"/>
    <w:rsid w:val="353C3564"/>
    <w:rsid w:val="356A18C2"/>
    <w:rsid w:val="35E26F23"/>
    <w:rsid w:val="35FE0E4D"/>
    <w:rsid w:val="360A7D1F"/>
    <w:rsid w:val="369116A0"/>
    <w:rsid w:val="37116C28"/>
    <w:rsid w:val="373B638D"/>
    <w:rsid w:val="38D77A81"/>
    <w:rsid w:val="39037607"/>
    <w:rsid w:val="3AB70149"/>
    <w:rsid w:val="3ABD3CB6"/>
    <w:rsid w:val="3B494A3A"/>
    <w:rsid w:val="3B5F7553"/>
    <w:rsid w:val="3B873677"/>
    <w:rsid w:val="3BB9785A"/>
    <w:rsid w:val="3BD57336"/>
    <w:rsid w:val="3BF516F0"/>
    <w:rsid w:val="3C060A79"/>
    <w:rsid w:val="3C393EC8"/>
    <w:rsid w:val="3C635F7B"/>
    <w:rsid w:val="3D824317"/>
    <w:rsid w:val="3DD9485E"/>
    <w:rsid w:val="403A00B5"/>
    <w:rsid w:val="40482F7D"/>
    <w:rsid w:val="407B0A65"/>
    <w:rsid w:val="41725267"/>
    <w:rsid w:val="41E231E9"/>
    <w:rsid w:val="430D50D1"/>
    <w:rsid w:val="43633D8D"/>
    <w:rsid w:val="447B5866"/>
    <w:rsid w:val="44C96065"/>
    <w:rsid w:val="44E8152F"/>
    <w:rsid w:val="455E3139"/>
    <w:rsid w:val="45E918D3"/>
    <w:rsid w:val="48146DD1"/>
    <w:rsid w:val="485939E9"/>
    <w:rsid w:val="48C350A0"/>
    <w:rsid w:val="48FA6DB7"/>
    <w:rsid w:val="491A6727"/>
    <w:rsid w:val="49540B8A"/>
    <w:rsid w:val="49AF2E33"/>
    <w:rsid w:val="4A411C2A"/>
    <w:rsid w:val="4A6E6761"/>
    <w:rsid w:val="4AEE7D04"/>
    <w:rsid w:val="4B492644"/>
    <w:rsid w:val="4B6F5D18"/>
    <w:rsid w:val="4BE4174E"/>
    <w:rsid w:val="4C327CEE"/>
    <w:rsid w:val="4CB93987"/>
    <w:rsid w:val="4D131613"/>
    <w:rsid w:val="4D4622A2"/>
    <w:rsid w:val="4E0A44E5"/>
    <w:rsid w:val="4E5C0EB0"/>
    <w:rsid w:val="4E82206A"/>
    <w:rsid w:val="4EAB3629"/>
    <w:rsid w:val="4F3B62F0"/>
    <w:rsid w:val="4FCE2BEA"/>
    <w:rsid w:val="4FE04C9B"/>
    <w:rsid w:val="4FEE0E74"/>
    <w:rsid w:val="50617B6F"/>
    <w:rsid w:val="50826722"/>
    <w:rsid w:val="50CE7B2D"/>
    <w:rsid w:val="513231AD"/>
    <w:rsid w:val="516A51EF"/>
    <w:rsid w:val="51E64B0E"/>
    <w:rsid w:val="52EF7B66"/>
    <w:rsid w:val="53982712"/>
    <w:rsid w:val="5408120F"/>
    <w:rsid w:val="54E46791"/>
    <w:rsid w:val="555A5F78"/>
    <w:rsid w:val="56013B52"/>
    <w:rsid w:val="565B54DD"/>
    <w:rsid w:val="567E0CAC"/>
    <w:rsid w:val="56855E38"/>
    <w:rsid w:val="569A7784"/>
    <w:rsid w:val="57B254BC"/>
    <w:rsid w:val="57CC47B1"/>
    <w:rsid w:val="58257ECA"/>
    <w:rsid w:val="58875277"/>
    <w:rsid w:val="588C34D9"/>
    <w:rsid w:val="59490F1F"/>
    <w:rsid w:val="595E22CF"/>
    <w:rsid w:val="5A3B2949"/>
    <w:rsid w:val="5A5B3CF1"/>
    <w:rsid w:val="5A634060"/>
    <w:rsid w:val="5B85110D"/>
    <w:rsid w:val="5BF059A2"/>
    <w:rsid w:val="5E0341E7"/>
    <w:rsid w:val="5E930A69"/>
    <w:rsid w:val="5EB84081"/>
    <w:rsid w:val="5F0D21D5"/>
    <w:rsid w:val="60082C73"/>
    <w:rsid w:val="60F71D98"/>
    <w:rsid w:val="6109433D"/>
    <w:rsid w:val="61D34B22"/>
    <w:rsid w:val="621038DE"/>
    <w:rsid w:val="634D53C0"/>
    <w:rsid w:val="63CB5E56"/>
    <w:rsid w:val="63F56444"/>
    <w:rsid w:val="64506B14"/>
    <w:rsid w:val="645823B2"/>
    <w:rsid w:val="64C24FD0"/>
    <w:rsid w:val="65B9064F"/>
    <w:rsid w:val="66584507"/>
    <w:rsid w:val="66E1147E"/>
    <w:rsid w:val="6875377E"/>
    <w:rsid w:val="695F59A3"/>
    <w:rsid w:val="69AC2445"/>
    <w:rsid w:val="69DE443B"/>
    <w:rsid w:val="6A976AD1"/>
    <w:rsid w:val="6AD57846"/>
    <w:rsid w:val="6BBD42D3"/>
    <w:rsid w:val="6C5D5737"/>
    <w:rsid w:val="6DB10B37"/>
    <w:rsid w:val="6E421A8C"/>
    <w:rsid w:val="6EBA34EB"/>
    <w:rsid w:val="6EE23942"/>
    <w:rsid w:val="70327C9F"/>
    <w:rsid w:val="7033456F"/>
    <w:rsid w:val="70CC06FE"/>
    <w:rsid w:val="71577DE6"/>
    <w:rsid w:val="71763023"/>
    <w:rsid w:val="7257307C"/>
    <w:rsid w:val="72894817"/>
    <w:rsid w:val="72BE795D"/>
    <w:rsid w:val="734C16D5"/>
    <w:rsid w:val="7375252F"/>
    <w:rsid w:val="73815F0A"/>
    <w:rsid w:val="74702FD3"/>
    <w:rsid w:val="74A21F85"/>
    <w:rsid w:val="74CB1295"/>
    <w:rsid w:val="75C05F38"/>
    <w:rsid w:val="760A38C2"/>
    <w:rsid w:val="761110FC"/>
    <w:rsid w:val="7612349C"/>
    <w:rsid w:val="7688709C"/>
    <w:rsid w:val="77154061"/>
    <w:rsid w:val="77CE10F3"/>
    <w:rsid w:val="782871AF"/>
    <w:rsid w:val="784D4D8B"/>
    <w:rsid w:val="788036DC"/>
    <w:rsid w:val="78C86ECE"/>
    <w:rsid w:val="78F66F32"/>
    <w:rsid w:val="793308DF"/>
    <w:rsid w:val="797F63F9"/>
    <w:rsid w:val="7AB17B7D"/>
    <w:rsid w:val="7AE73FD5"/>
    <w:rsid w:val="7CA0770B"/>
    <w:rsid w:val="7CCA1975"/>
    <w:rsid w:val="7CD6309E"/>
    <w:rsid w:val="7DAC64CA"/>
    <w:rsid w:val="7F1701C9"/>
    <w:rsid w:val="7F8265A1"/>
    <w:rsid w:val="7F9C41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0"/>
    <w:pPr>
      <w:keepNext/>
      <w:keepLines/>
      <w:spacing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Cs w:val="24"/>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3"/>
    <w:basedOn w:val="1"/>
    <w:link w:val="21"/>
    <w:qFormat/>
    <w:uiPriority w:val="0"/>
    <w:rPr>
      <w:sz w:val="16"/>
      <w:szCs w:val="16"/>
    </w:rPr>
  </w:style>
  <w:style w:type="paragraph" w:styleId="8">
    <w:name w:val="Plain Text"/>
    <w:basedOn w:val="1"/>
    <w:link w:val="22"/>
    <w:qFormat/>
    <w:uiPriority w:val="0"/>
    <w:rPr>
      <w:rFonts w:ascii="宋体" w:hAnsi="Courier New" w:cs="Courier New"/>
      <w:szCs w:val="21"/>
    </w:rPr>
  </w:style>
  <w:style w:type="paragraph" w:styleId="9">
    <w:name w:val="Date"/>
    <w:basedOn w:val="1"/>
    <w:next w:val="1"/>
    <w:link w:val="23"/>
    <w:qFormat/>
    <w:uiPriority w:val="0"/>
    <w:rPr>
      <w:rFonts w:ascii="楷体_GB2312" w:eastAsia="楷体_GB2312"/>
      <w:sz w:val="28"/>
    </w:rPr>
  </w:style>
  <w:style w:type="paragraph" w:styleId="10">
    <w:name w:val="Balloon Text"/>
    <w:basedOn w:val="1"/>
    <w:link w:val="26"/>
    <w:unhideWhenUsed/>
    <w:qFormat/>
    <w:uiPriority w:val="99"/>
    <w:rPr>
      <w:sz w:val="18"/>
      <w:szCs w:val="18"/>
    </w:rPr>
  </w:style>
  <w:style w:type="paragraph" w:styleId="11">
    <w:name w:val="footer"/>
    <w:basedOn w:val="1"/>
    <w:link w:val="18"/>
    <w:unhideWhenUsed/>
    <w:qFormat/>
    <w:uiPriority w:val="0"/>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Hyperlink"/>
    <w:basedOn w:val="15"/>
    <w:qFormat/>
    <w:uiPriority w:val="0"/>
    <w:rPr>
      <w:color w:val="333333"/>
      <w:u w:val="none"/>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semiHidden/>
    <w:qFormat/>
    <w:uiPriority w:val="99"/>
    <w:rPr>
      <w:sz w:val="18"/>
      <w:szCs w:val="18"/>
    </w:rPr>
  </w:style>
  <w:style w:type="paragraph" w:customStyle="1" w:styleId="19">
    <w:name w:val="列出段落1"/>
    <w:basedOn w:val="1"/>
    <w:unhideWhenUsed/>
    <w:qFormat/>
    <w:uiPriority w:val="99"/>
    <w:pPr>
      <w:ind w:firstLine="420" w:firstLineChars="200"/>
    </w:pPr>
  </w:style>
  <w:style w:type="character" w:customStyle="1" w:styleId="20">
    <w:name w:val="标题 1 字符"/>
    <w:basedOn w:val="15"/>
    <w:link w:val="5"/>
    <w:qFormat/>
    <w:uiPriority w:val="0"/>
    <w:rPr>
      <w:rFonts w:asciiTheme="minorHAnsi" w:hAnsiTheme="minorHAnsi" w:eastAsiaTheme="minorEastAsia" w:cstheme="minorBidi"/>
      <w:b/>
      <w:bCs/>
      <w:kern w:val="44"/>
      <w:sz w:val="44"/>
      <w:szCs w:val="44"/>
    </w:rPr>
  </w:style>
  <w:style w:type="character" w:customStyle="1" w:styleId="21">
    <w:name w:val="正文文本 3 字符"/>
    <w:basedOn w:val="15"/>
    <w:link w:val="7"/>
    <w:qFormat/>
    <w:uiPriority w:val="0"/>
    <w:rPr>
      <w:rFonts w:asciiTheme="minorHAnsi" w:hAnsiTheme="minorHAnsi" w:eastAsiaTheme="minorEastAsia" w:cstheme="minorBidi"/>
      <w:kern w:val="2"/>
      <w:sz w:val="16"/>
      <w:szCs w:val="16"/>
    </w:rPr>
  </w:style>
  <w:style w:type="character" w:customStyle="1" w:styleId="22">
    <w:name w:val="纯文本 字符"/>
    <w:basedOn w:val="15"/>
    <w:link w:val="8"/>
    <w:qFormat/>
    <w:uiPriority w:val="0"/>
    <w:rPr>
      <w:rFonts w:ascii="宋体" w:hAnsi="Courier New" w:cs="Courier New" w:eastAsiaTheme="minorEastAsia"/>
      <w:kern w:val="2"/>
      <w:sz w:val="21"/>
      <w:szCs w:val="21"/>
    </w:rPr>
  </w:style>
  <w:style w:type="character" w:customStyle="1" w:styleId="23">
    <w:name w:val="日期 字符"/>
    <w:basedOn w:val="15"/>
    <w:link w:val="9"/>
    <w:qFormat/>
    <w:uiPriority w:val="0"/>
    <w:rPr>
      <w:rFonts w:ascii="楷体_GB2312" w:eastAsia="楷体_GB2312" w:hAnsiTheme="minorHAnsi" w:cstheme="minorBidi"/>
      <w:kern w:val="2"/>
      <w:sz w:val="28"/>
      <w:szCs w:val="24"/>
    </w:rPr>
  </w:style>
  <w:style w:type="paragraph" w:customStyle="1" w:styleId="24">
    <w:name w:val="1"/>
    <w:basedOn w:val="1"/>
    <w:next w:val="8"/>
    <w:qFormat/>
    <w:uiPriority w:val="0"/>
    <w:rPr>
      <w:rFonts w:ascii="宋体" w:hAnsi="Courier New"/>
    </w:rPr>
  </w:style>
  <w:style w:type="paragraph" w:customStyle="1" w:styleId="25">
    <w:name w:val="xl24"/>
    <w:basedOn w:val="1"/>
    <w:qFormat/>
    <w:uiPriority w:val="0"/>
    <w:pPr>
      <w:spacing w:beforeAutospacing="1" w:afterAutospacing="1"/>
      <w:jc w:val="center"/>
    </w:pPr>
    <w:rPr>
      <w:rFonts w:ascii="宋体" w:hAnsi="宋体" w:cs="宋体"/>
      <w:sz w:val="24"/>
    </w:rPr>
  </w:style>
  <w:style w:type="character" w:customStyle="1" w:styleId="26">
    <w:name w:val="批注框文本 字符"/>
    <w:basedOn w:val="15"/>
    <w:link w:val="10"/>
    <w:semiHidden/>
    <w:qFormat/>
    <w:uiPriority w:val="99"/>
    <w:rPr>
      <w:rFonts w:asciiTheme="minorHAnsi" w:hAnsiTheme="minorHAnsi" w:eastAsiaTheme="minorEastAsia" w:cstheme="minorBidi"/>
      <w:kern w:val="2"/>
      <w:sz w:val="18"/>
      <w:szCs w:val="18"/>
    </w:rPr>
  </w:style>
  <w:style w:type="paragraph" w:customStyle="1" w:styleId="27">
    <w:name w:val="正文 + 仿宋_GB2312"/>
    <w:basedOn w:val="1"/>
    <w:qFormat/>
    <w:uiPriority w:val="0"/>
    <w:pPr>
      <w:ind w:firstLine="560" w:firstLineChars="200"/>
    </w:pPr>
    <w:rPr>
      <w:rFonts w:ascii="仿宋_GB2312" w:eastAsia="仿宋_GB2312"/>
      <w:sz w:val="28"/>
      <w:szCs w:val="28"/>
    </w:rPr>
  </w:style>
  <w:style w:type="paragraph" w:customStyle="1" w:styleId="28">
    <w:name w:val="图例"/>
    <w:basedOn w:val="1"/>
    <w:qFormat/>
    <w:uiPriority w:val="0"/>
    <w:pPr>
      <w:spacing w:before="120" w:after="120" w:line="360" w:lineRule="auto"/>
      <w:jc w:val="center"/>
    </w:pPr>
    <w:rPr>
      <w:rFonts w:eastAsia="仿宋_GB2312"/>
      <w:b/>
      <w:sz w:val="24"/>
    </w:rPr>
  </w:style>
  <w:style w:type="character" w:customStyle="1" w:styleId="29">
    <w:name w:val="fontstyle61"/>
    <w:basedOn w:val="15"/>
    <w:qFormat/>
    <w:uiPriority w:val="0"/>
    <w:rPr>
      <w:rFonts w:ascii="仿宋_GB2312" w:eastAsia="仿宋_GB2312" w:cs="仿宋_GB2312"/>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FC052-8410-49F3-BF2C-A37D3C90FF30}">
  <ds:schemaRefs/>
</ds:datastoreItem>
</file>

<file path=docProps/app.xml><?xml version="1.0" encoding="utf-8"?>
<Properties xmlns="http://schemas.openxmlformats.org/officeDocument/2006/extended-properties" xmlns:vt="http://schemas.openxmlformats.org/officeDocument/2006/docPropsVTypes">
  <Template>Normal</Template>
  <Pages>32</Pages>
  <Words>1644</Words>
  <Characters>9376</Characters>
  <Lines>78</Lines>
  <Paragraphs>21</Paragraphs>
  <TotalTime>49</TotalTime>
  <ScaleCrop>false</ScaleCrop>
  <LinksUpToDate>false</LinksUpToDate>
  <CharactersWithSpaces>10999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2019-10-28T02:20:00Z</dcterms:created>
  <dc:creator>lijun</dc:creator>
  <cp:lastModifiedBy>冷水泡茶</cp:lastModifiedBy>
  <cp:lastPrinted>2020-05-25T02:49:00Z</cp:lastPrinted>
  <dcterms:modified xsi:type="dcterms:W3CDTF">2022-04-11T06:39:29Z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5C18FB7886E940F3940407D8E75A18E9</vt:lpwstr>
  </property>
</Properties>
</file>